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CC44" w14:textId="77777777" w:rsidR="00472B7E" w:rsidRDefault="00472B7E" w:rsidP="00472B7E">
      <w:pPr>
        <w:spacing w:after="0" w:line="276" w:lineRule="auto"/>
        <w:jc w:val="center"/>
        <w:rPr>
          <w:rFonts w:ascii="Times New Roman" w:hAnsi="Times New Roman"/>
          <w:b/>
          <w:sz w:val="28"/>
          <w:szCs w:val="28"/>
          <w:lang w:val="en-GB"/>
        </w:rPr>
      </w:pPr>
      <w:r>
        <w:rPr>
          <w:noProof/>
          <w14:ligatures w14:val="standardContextual"/>
        </w:rPr>
        <w:drawing>
          <wp:inline distT="0" distB="0" distL="0" distR="0" wp14:anchorId="1D22B5EA" wp14:editId="57A9851C">
            <wp:extent cx="1605915" cy="1091565"/>
            <wp:effectExtent l="0" t="0" r="13335" b="13335"/>
            <wp:docPr id="2" name="Picture 24" descr="Mac OS X:Users:wolfganggast:Desktop:Office:vhs-dvv_int_logo_RGB_pos_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Mac OS X:Users:wolfganggast:Desktop:Office:vhs-dvv_int_logo_RGB_pos_ver.png"/>
                    <pic:cNvPicPr>
                      <a:picLocks noChangeAspect="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05915" cy="1091565"/>
                    </a:xfrm>
                    <a:prstGeom prst="rect">
                      <a:avLst/>
                    </a:prstGeom>
                    <a:noFill/>
                    <a:ln>
                      <a:noFill/>
                    </a:ln>
                  </pic:spPr>
                </pic:pic>
              </a:graphicData>
            </a:graphic>
          </wp:inline>
        </w:drawing>
      </w:r>
    </w:p>
    <w:p w14:paraId="10B030F6" w14:textId="4F2E9F03" w:rsidR="00472B7E" w:rsidRPr="00C5245B" w:rsidRDefault="00472B7E" w:rsidP="00472B7E">
      <w:pPr>
        <w:spacing w:after="0" w:line="276" w:lineRule="auto"/>
        <w:jc w:val="center"/>
        <w:rPr>
          <w:rFonts w:ascii="Times New Roman" w:hAnsi="Times New Roman"/>
          <w:b/>
          <w:sz w:val="28"/>
          <w:szCs w:val="28"/>
          <w:lang w:val="en-GB"/>
        </w:rPr>
      </w:pPr>
      <w:r>
        <w:rPr>
          <w:rFonts w:ascii="Times New Roman" w:hAnsi="Times New Roman"/>
          <w:b/>
          <w:sz w:val="28"/>
          <w:szCs w:val="28"/>
          <w:lang w:val="en-GB"/>
        </w:rPr>
        <w:t>Training</w:t>
      </w:r>
      <w:r w:rsidRPr="00C5245B">
        <w:rPr>
          <w:rFonts w:ascii="Times New Roman" w:hAnsi="Times New Roman"/>
          <w:b/>
          <w:sz w:val="28"/>
          <w:szCs w:val="28"/>
          <w:lang w:val="en-GB"/>
        </w:rPr>
        <w:t xml:space="preserve"> on </w:t>
      </w:r>
      <w:r>
        <w:rPr>
          <w:rFonts w:ascii="Times New Roman" w:hAnsi="Times New Roman"/>
          <w:b/>
          <w:sz w:val="28"/>
          <w:szCs w:val="28"/>
          <w:lang w:val="en-GB"/>
        </w:rPr>
        <w:t xml:space="preserve">Effective Communication </w:t>
      </w:r>
    </w:p>
    <w:p w14:paraId="52530231" w14:textId="77777777" w:rsidR="00472B7E" w:rsidRPr="00C5245B" w:rsidRDefault="00472B7E" w:rsidP="00472B7E">
      <w:pPr>
        <w:spacing w:after="0" w:line="276" w:lineRule="auto"/>
        <w:jc w:val="center"/>
        <w:rPr>
          <w:rFonts w:ascii="Times New Roman" w:hAnsi="Times New Roman"/>
          <w:b/>
          <w:sz w:val="28"/>
          <w:szCs w:val="28"/>
          <w:lang w:val="en-GB"/>
        </w:rPr>
      </w:pPr>
    </w:p>
    <w:p w14:paraId="5587EDD0" w14:textId="77777777" w:rsidR="00472B7E" w:rsidRPr="00C5245B" w:rsidRDefault="00472B7E" w:rsidP="00472B7E">
      <w:pPr>
        <w:spacing w:after="0" w:line="276" w:lineRule="auto"/>
        <w:jc w:val="center"/>
        <w:rPr>
          <w:rFonts w:ascii="Times New Roman" w:hAnsi="Times New Roman"/>
          <w:b/>
          <w:sz w:val="28"/>
          <w:szCs w:val="28"/>
          <w:lang w:val="en-GB"/>
        </w:rPr>
      </w:pPr>
      <w:r w:rsidRPr="00C5245B">
        <w:rPr>
          <w:rFonts w:ascii="Times New Roman" w:hAnsi="Times New Roman"/>
          <w:b/>
          <w:sz w:val="28"/>
          <w:szCs w:val="28"/>
          <w:lang w:val="en-GB"/>
        </w:rPr>
        <w:t>Terms of Reference</w:t>
      </w:r>
    </w:p>
    <w:p w14:paraId="5ABB2080" w14:textId="77777777" w:rsidR="00472B7E" w:rsidRPr="00C5245B" w:rsidRDefault="00472B7E" w:rsidP="00472B7E">
      <w:pPr>
        <w:spacing w:after="0" w:line="276" w:lineRule="auto"/>
        <w:jc w:val="center"/>
        <w:rPr>
          <w:rFonts w:ascii="Times New Roman" w:hAnsi="Times New Roman"/>
          <w:b/>
          <w:color w:val="0070C0"/>
          <w:lang w:val="en-GB"/>
        </w:rPr>
      </w:pPr>
    </w:p>
    <w:p w14:paraId="57DAA378" w14:textId="77777777" w:rsidR="00472B7E" w:rsidRPr="00C5245B" w:rsidRDefault="00472B7E" w:rsidP="00472B7E">
      <w:pPr>
        <w:pStyle w:val="Heading1"/>
        <w:rPr>
          <w:lang w:val="en-GB"/>
        </w:rPr>
      </w:pPr>
      <w:r w:rsidRPr="00C5245B">
        <w:rPr>
          <w:rStyle w:val="Emphasis"/>
          <w:lang w:val="en-GB"/>
        </w:rPr>
        <w:t>Background information</w:t>
      </w:r>
      <w:r w:rsidRPr="00C5245B">
        <w:rPr>
          <w:lang w:val="en-GB"/>
        </w:rPr>
        <w:t xml:space="preserve"> </w:t>
      </w:r>
    </w:p>
    <w:p w14:paraId="79BE0BAE" w14:textId="77777777" w:rsidR="00472B7E" w:rsidRPr="00C5245B" w:rsidRDefault="00472B7E" w:rsidP="00472B7E">
      <w:pPr>
        <w:spacing w:after="120" w:line="300" w:lineRule="exact"/>
        <w:jc w:val="both"/>
        <w:rPr>
          <w:rFonts w:ascii="Times New Roman" w:hAnsi="Times New Roman"/>
          <w:lang w:val="en-GB"/>
        </w:rPr>
      </w:pPr>
      <w:r w:rsidRPr="00C5245B">
        <w:rPr>
          <w:rFonts w:ascii="Times New Roman" w:hAnsi="Times New Roman"/>
          <w:b/>
          <w:bCs/>
          <w:lang w:val="en-GB"/>
        </w:rPr>
        <w:t>DVV International</w:t>
      </w:r>
      <w:r w:rsidRPr="00C5245B">
        <w:rPr>
          <w:rFonts w:ascii="Times New Roman" w:hAnsi="Times New Roman"/>
          <w:lang w:val="en-GB"/>
        </w:rPr>
        <w:t xml:space="preserve"> is the Institute for International Cooperation of the </w:t>
      </w:r>
      <w:r w:rsidRPr="00C5245B">
        <w:rPr>
          <w:rFonts w:ascii="Times New Roman" w:hAnsi="Times New Roman"/>
          <w:i/>
          <w:iCs/>
          <w:lang w:val="en-GB"/>
        </w:rPr>
        <w:t xml:space="preserve">Deutscher </w:t>
      </w:r>
      <w:proofErr w:type="spellStart"/>
      <w:r w:rsidRPr="00C5245B">
        <w:rPr>
          <w:rFonts w:ascii="Times New Roman" w:hAnsi="Times New Roman"/>
          <w:i/>
          <w:iCs/>
          <w:lang w:val="en-GB"/>
        </w:rPr>
        <w:t>Volkshochschul-Verband</w:t>
      </w:r>
      <w:proofErr w:type="spellEnd"/>
      <w:r w:rsidRPr="00C5245B">
        <w:rPr>
          <w:rFonts w:ascii="Times New Roman" w:hAnsi="Times New Roman"/>
          <w:i/>
          <w:iCs/>
          <w:lang w:val="en-GB"/>
        </w:rPr>
        <w:t xml:space="preserve"> </w:t>
      </w:r>
      <w:proofErr w:type="spellStart"/>
      <w:r w:rsidRPr="00C5245B">
        <w:rPr>
          <w:rFonts w:ascii="Times New Roman" w:hAnsi="Times New Roman"/>
          <w:i/>
          <w:iCs/>
          <w:lang w:val="en-GB"/>
        </w:rPr>
        <w:t>e.V.</w:t>
      </w:r>
      <w:proofErr w:type="spellEnd"/>
      <w:r w:rsidRPr="00C5245B">
        <w:rPr>
          <w:rFonts w:ascii="Times New Roman" w:hAnsi="Times New Roman"/>
          <w:lang w:val="en-GB"/>
        </w:rPr>
        <w:t xml:space="preserve"> (DVV), the German Adult Education Association. DVV represents the interests of the approximately 850 adult education centres (</w:t>
      </w:r>
      <w:proofErr w:type="spellStart"/>
      <w:r w:rsidRPr="00C5245B">
        <w:rPr>
          <w:rFonts w:ascii="Times New Roman" w:hAnsi="Times New Roman"/>
          <w:i/>
          <w:iCs/>
          <w:lang w:val="en-GB"/>
        </w:rPr>
        <w:t>Volkshochschulen</w:t>
      </w:r>
      <w:proofErr w:type="spellEnd"/>
      <w:r w:rsidRPr="00C5245B">
        <w:rPr>
          <w:rFonts w:ascii="Times New Roman" w:hAnsi="Times New Roman"/>
          <w:i/>
          <w:iCs/>
          <w:lang w:val="en-GB"/>
        </w:rPr>
        <w:t xml:space="preserve"> </w:t>
      </w:r>
      <w:r w:rsidRPr="00C5245B">
        <w:rPr>
          <w:rFonts w:ascii="Times New Roman" w:hAnsi="Times New Roman"/>
          <w:lang w:val="en-GB"/>
        </w:rPr>
        <w:t xml:space="preserve">- VHS) and their state associations, the largest further education providers in Germany. </w:t>
      </w:r>
    </w:p>
    <w:p w14:paraId="0AD3114B" w14:textId="77777777" w:rsidR="00472B7E" w:rsidRPr="00C5245B" w:rsidRDefault="00472B7E" w:rsidP="00472B7E">
      <w:pPr>
        <w:spacing w:after="120" w:line="300" w:lineRule="exact"/>
        <w:jc w:val="both"/>
        <w:rPr>
          <w:rFonts w:ascii="Times New Roman" w:hAnsi="Times New Roman"/>
          <w:lang w:val="en-GB"/>
        </w:rPr>
      </w:pPr>
      <w:r w:rsidRPr="00C5245B">
        <w:rPr>
          <w:rFonts w:ascii="Times New Roman" w:hAnsi="Times New Roman"/>
          <w:lang w:val="en-GB"/>
        </w:rPr>
        <w:t xml:space="preserve">As the leading professional organization in the field of </w:t>
      </w:r>
      <w:r w:rsidRPr="00C5245B">
        <w:rPr>
          <w:rFonts w:ascii="Times New Roman" w:hAnsi="Times New Roman"/>
          <w:b/>
          <w:bCs/>
          <w:lang w:val="en-GB"/>
        </w:rPr>
        <w:t>adult learning &amp; education (ALE)</w:t>
      </w:r>
      <w:r w:rsidRPr="00C5245B">
        <w:rPr>
          <w:rFonts w:ascii="Times New Roman" w:hAnsi="Times New Roman"/>
          <w:lang w:val="en-GB"/>
        </w:rPr>
        <w:t xml:space="preserve"> and development cooperation, DVV International has committed itself to promote the right for lifelong learning worldwide and has been implementing country programs of development cooperation in Africa, Asia, Latin America, and Europe for more than 50 years. DVV International strengthens national ALE-systems in partner countries and provides support for the establishment and development of sustainable structures for youth and adult education. The project approach of DVV International targets improved conditions in policy, legislation, and financing, as well as promotion of professionalization in practice and theory of ALE and requires cooperation both with government institutions such as ministries as well as with civil society organisations, universities, and other educational providers. By supporting our partners (usually, adult education centres), in developing and piloting exemplary concrete learning offers, especially for disadvantaged population groups, we create best practice and evidence of the benefit of ALE.</w:t>
      </w:r>
    </w:p>
    <w:p w14:paraId="5E4B201E" w14:textId="77777777" w:rsidR="00472B7E" w:rsidRPr="00C5245B" w:rsidRDefault="00472B7E" w:rsidP="00472B7E">
      <w:pPr>
        <w:spacing w:after="120" w:line="300" w:lineRule="exact"/>
        <w:jc w:val="both"/>
        <w:rPr>
          <w:rFonts w:ascii="Times New Roman" w:hAnsi="Times New Roman"/>
          <w:lang w:val="en-GB"/>
        </w:rPr>
      </w:pPr>
      <w:hyperlink r:id="rId9" w:history="1">
        <w:r w:rsidRPr="00C5245B">
          <w:rPr>
            <w:rStyle w:val="Hyperlink"/>
            <w:rFonts w:ascii="Times New Roman" w:hAnsi="Times New Roman"/>
            <w:b/>
            <w:bCs/>
            <w:lang w:val="en-GB"/>
          </w:rPr>
          <w:t>DVV International Georgia</w:t>
        </w:r>
      </w:hyperlink>
      <w:r w:rsidRPr="00C5245B">
        <w:rPr>
          <w:rFonts w:ascii="Times New Roman" w:hAnsi="Times New Roman"/>
          <w:lang w:val="en-GB"/>
        </w:rPr>
        <w:t xml:space="preserve"> as established in 2003 and works to strengthen the non-formal Adult Education system in Georgia by combining institutional development of the sector with direct programme implementation at community level.</w:t>
      </w:r>
    </w:p>
    <w:p w14:paraId="031C0FBF" w14:textId="77777777" w:rsidR="00472B7E" w:rsidRPr="00C5245B" w:rsidRDefault="00472B7E" w:rsidP="00472B7E">
      <w:pPr>
        <w:spacing w:after="120" w:line="300" w:lineRule="exact"/>
        <w:jc w:val="both"/>
        <w:rPr>
          <w:rFonts w:ascii="Times New Roman" w:hAnsi="Times New Roman"/>
          <w:lang w:val="en-GB"/>
        </w:rPr>
      </w:pPr>
      <w:r w:rsidRPr="00C5245B">
        <w:rPr>
          <w:rFonts w:ascii="Times New Roman" w:hAnsi="Times New Roman"/>
          <w:lang w:val="en-GB"/>
        </w:rPr>
        <w:t>DVV International Georgia has supported the establishment of Adult Learning and Education (ALE) Centres across the country. Currently, 15 independent centres operate in all regions of Georgia.</w:t>
      </w:r>
      <w:r w:rsidRPr="00C5245B">
        <w:rPr>
          <w:rStyle w:val="FootnoteReference"/>
          <w:rFonts w:ascii="Times New Roman" w:hAnsi="Times New Roman"/>
          <w:lang w:val="en-GB"/>
        </w:rPr>
        <w:t xml:space="preserve"> </w:t>
      </w:r>
      <w:r w:rsidRPr="00C5245B">
        <w:rPr>
          <w:rStyle w:val="FootnoteReference"/>
          <w:rFonts w:ascii="Times New Roman" w:hAnsi="Times New Roman"/>
          <w:lang w:val="en-GB"/>
        </w:rPr>
        <w:footnoteReference w:id="1"/>
      </w:r>
      <w:r w:rsidRPr="00C5245B">
        <w:rPr>
          <w:rFonts w:ascii="Times New Roman" w:hAnsi="Times New Roman"/>
          <w:lang w:val="en-GB"/>
        </w:rPr>
        <w:t xml:space="preserve">  These centres promote lifelong learning, socio-economic integration, and active citizenship through vocational training, skills development, civic education, and community-based initiatives.</w:t>
      </w:r>
    </w:p>
    <w:p w14:paraId="6694B4A0" w14:textId="77777777" w:rsidR="00472B7E" w:rsidRPr="00C5245B" w:rsidRDefault="00472B7E" w:rsidP="00472B7E">
      <w:pPr>
        <w:spacing w:after="120" w:line="300" w:lineRule="exact"/>
        <w:jc w:val="both"/>
        <w:rPr>
          <w:rFonts w:ascii="Times New Roman" w:hAnsi="Times New Roman"/>
          <w:lang w:val="en-GB"/>
        </w:rPr>
      </w:pPr>
      <w:r w:rsidRPr="00C5245B">
        <w:rPr>
          <w:rFonts w:ascii="Times New Roman" w:hAnsi="Times New Roman"/>
          <w:lang w:val="en-GB"/>
        </w:rPr>
        <w:t xml:space="preserve">ALE Centres prioritise inclusion of vulnerable and marginalised groups, including internally displaced persons (IDPs), women, older adults, unemployed persons, ex-convicts, and other socially disadvantaged </w:t>
      </w:r>
      <w:r w:rsidRPr="00C5245B">
        <w:rPr>
          <w:rFonts w:ascii="Times New Roman" w:hAnsi="Times New Roman"/>
          <w:lang w:val="en-GB"/>
        </w:rPr>
        <w:lastRenderedPageBreak/>
        <w:t>groups. Between 2006 and 2025, more than 280,000 individuals have participated in activities delivered through these centres.</w:t>
      </w:r>
    </w:p>
    <w:p w14:paraId="71E25EB4" w14:textId="77777777" w:rsidR="00472B7E" w:rsidRPr="00C5245B" w:rsidRDefault="00472B7E" w:rsidP="00472B7E">
      <w:pPr>
        <w:spacing w:after="120" w:line="300" w:lineRule="exact"/>
        <w:jc w:val="both"/>
        <w:rPr>
          <w:rFonts w:ascii="Times New Roman" w:hAnsi="Times New Roman"/>
          <w:lang w:val="en-GB"/>
        </w:rPr>
      </w:pPr>
      <w:r w:rsidRPr="00C5245B">
        <w:rPr>
          <w:rFonts w:ascii="Times New Roman" w:hAnsi="Times New Roman"/>
          <w:lang w:val="en-GB"/>
        </w:rPr>
        <w:t>DVV International Georgia also supports the Georgian Adult Education Network (GAEN), which contributes to the development of a lifelong learning system tailored to national and local needs.</w:t>
      </w:r>
    </w:p>
    <w:p w14:paraId="1458048C" w14:textId="77777777" w:rsidR="00472B7E" w:rsidRPr="00C5245B" w:rsidRDefault="00472B7E" w:rsidP="00472B7E">
      <w:pPr>
        <w:pStyle w:val="Heading1"/>
        <w:rPr>
          <w:rFonts w:eastAsia="Calibri"/>
          <w:lang w:val="en-GB"/>
        </w:rPr>
      </w:pPr>
      <w:r w:rsidRPr="00C5245B">
        <w:rPr>
          <w:lang w:val="en-GB"/>
        </w:rPr>
        <w:t>Context</w:t>
      </w:r>
    </w:p>
    <w:p w14:paraId="0FB32ABB" w14:textId="77777777" w:rsidR="00472B7E"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The operating environment for civil society organisations (CSOs) in Georgia has evolved in recent years, with regulatory and administrative developments increasing the complexity of their operational framework. These changes have had implications for programme implementation at the local level, including for partner organisations of DVV International Georgia.</w:t>
      </w:r>
    </w:p>
    <w:p w14:paraId="677B006D" w14:textId="77777777" w:rsidR="00472B7E" w:rsidRPr="003921AE" w:rsidRDefault="00472B7E" w:rsidP="00472B7E">
      <w:pPr>
        <w:pStyle w:val="NormalWeb"/>
        <w:spacing w:before="0" w:beforeAutospacing="0" w:after="120" w:afterAutospacing="0" w:line="300" w:lineRule="exact"/>
        <w:jc w:val="both"/>
        <w:rPr>
          <w:sz w:val="22"/>
          <w:szCs w:val="22"/>
        </w:rPr>
      </w:pPr>
      <w:r w:rsidRPr="003921AE">
        <w:rPr>
          <w:sz w:val="22"/>
          <w:szCs w:val="22"/>
        </w:rPr>
        <w:t xml:space="preserve">In 2026, a number of rental agreements between ALE </w:t>
      </w:r>
      <w:proofErr w:type="spellStart"/>
      <w:r w:rsidRPr="003921AE">
        <w:rPr>
          <w:sz w:val="22"/>
          <w:szCs w:val="22"/>
        </w:rPr>
        <w:t>Centres</w:t>
      </w:r>
      <w:proofErr w:type="spellEnd"/>
      <w:r w:rsidRPr="003921AE">
        <w:rPr>
          <w:sz w:val="22"/>
          <w:szCs w:val="22"/>
        </w:rPr>
        <w:t xml:space="preserve"> and local municipalities are expected to expire. At the same time, the broader political and legislative environment for civil society </w:t>
      </w:r>
      <w:proofErr w:type="spellStart"/>
      <w:r w:rsidRPr="003921AE">
        <w:rPr>
          <w:sz w:val="22"/>
          <w:szCs w:val="22"/>
        </w:rPr>
        <w:t>organisations</w:t>
      </w:r>
      <w:proofErr w:type="spellEnd"/>
      <w:r w:rsidRPr="003921AE">
        <w:rPr>
          <w:sz w:val="22"/>
          <w:szCs w:val="22"/>
        </w:rPr>
        <w:t xml:space="preserve"> in Georgia has become more complex. In this context, ALE </w:t>
      </w:r>
      <w:proofErr w:type="spellStart"/>
      <w:r w:rsidRPr="003921AE">
        <w:rPr>
          <w:sz w:val="22"/>
          <w:szCs w:val="22"/>
        </w:rPr>
        <w:t>Centres</w:t>
      </w:r>
      <w:proofErr w:type="spellEnd"/>
      <w:r w:rsidRPr="003921AE">
        <w:rPr>
          <w:sz w:val="22"/>
          <w:szCs w:val="22"/>
        </w:rPr>
        <w:t xml:space="preserve"> must engage </w:t>
      </w:r>
      <w:r>
        <w:rPr>
          <w:sz w:val="22"/>
          <w:szCs w:val="22"/>
        </w:rPr>
        <w:t xml:space="preserve">their strategic stakeholders, particularly </w:t>
      </w:r>
      <w:r w:rsidRPr="003921AE">
        <w:rPr>
          <w:sz w:val="22"/>
          <w:szCs w:val="22"/>
        </w:rPr>
        <w:t>local government</w:t>
      </w:r>
      <w:r>
        <w:rPr>
          <w:sz w:val="22"/>
          <w:szCs w:val="22"/>
        </w:rPr>
        <w:t xml:space="preserve"> authoritie</w:t>
      </w:r>
      <w:r w:rsidRPr="003921AE">
        <w:rPr>
          <w:sz w:val="22"/>
          <w:szCs w:val="22"/>
        </w:rPr>
        <w:t>s in a more strategic, professional, and coordinated manner.</w:t>
      </w:r>
    </w:p>
    <w:p w14:paraId="74CC5426" w14:textId="77777777" w:rsidR="00472B7E" w:rsidRPr="003921AE" w:rsidRDefault="00472B7E" w:rsidP="00472B7E">
      <w:pPr>
        <w:pStyle w:val="NormalWeb"/>
        <w:spacing w:before="0" w:beforeAutospacing="0" w:after="120" w:afterAutospacing="0" w:line="300" w:lineRule="exact"/>
        <w:jc w:val="both"/>
        <w:rPr>
          <w:sz w:val="22"/>
          <w:szCs w:val="22"/>
        </w:rPr>
      </w:pPr>
      <w:r w:rsidRPr="003921AE">
        <w:rPr>
          <w:sz w:val="22"/>
          <w:szCs w:val="22"/>
        </w:rPr>
        <w:t xml:space="preserve">Local authorities are key stakeholders for the sustainability of ALE </w:t>
      </w:r>
      <w:proofErr w:type="spellStart"/>
      <w:r w:rsidRPr="003921AE">
        <w:rPr>
          <w:sz w:val="22"/>
          <w:szCs w:val="22"/>
        </w:rPr>
        <w:t>Centres</w:t>
      </w:r>
      <w:proofErr w:type="spellEnd"/>
      <w:r w:rsidRPr="003921AE">
        <w:rPr>
          <w:sz w:val="22"/>
          <w:szCs w:val="22"/>
        </w:rPr>
        <w:t>, particularly regarding:</w:t>
      </w:r>
    </w:p>
    <w:p w14:paraId="5DC52DFD" w14:textId="77777777" w:rsidR="00472B7E" w:rsidRPr="003921AE" w:rsidRDefault="00472B7E" w:rsidP="00472B7E">
      <w:pPr>
        <w:pStyle w:val="NormalWeb"/>
        <w:numPr>
          <w:ilvl w:val="0"/>
          <w:numId w:val="7"/>
        </w:numPr>
        <w:spacing w:before="0" w:beforeAutospacing="0" w:after="120" w:afterAutospacing="0" w:line="300" w:lineRule="exact"/>
        <w:jc w:val="both"/>
        <w:rPr>
          <w:sz w:val="22"/>
          <w:szCs w:val="22"/>
        </w:rPr>
      </w:pPr>
      <w:r w:rsidRPr="003921AE">
        <w:rPr>
          <w:sz w:val="22"/>
          <w:szCs w:val="22"/>
        </w:rPr>
        <w:t>Premises and infrastructure;</w:t>
      </w:r>
    </w:p>
    <w:p w14:paraId="70822A3C" w14:textId="77777777" w:rsidR="00472B7E" w:rsidRPr="003921AE" w:rsidRDefault="00472B7E" w:rsidP="00472B7E">
      <w:pPr>
        <w:pStyle w:val="NormalWeb"/>
        <w:numPr>
          <w:ilvl w:val="0"/>
          <w:numId w:val="7"/>
        </w:numPr>
        <w:spacing w:before="0" w:beforeAutospacing="0" w:after="120" w:afterAutospacing="0" w:line="300" w:lineRule="exact"/>
        <w:jc w:val="both"/>
        <w:rPr>
          <w:sz w:val="22"/>
          <w:szCs w:val="22"/>
        </w:rPr>
      </w:pPr>
      <w:r w:rsidRPr="003921AE">
        <w:rPr>
          <w:sz w:val="22"/>
          <w:szCs w:val="22"/>
        </w:rPr>
        <w:t>Co-financing and municipal partnerships;</w:t>
      </w:r>
    </w:p>
    <w:p w14:paraId="4C9B2C25" w14:textId="77777777" w:rsidR="00472B7E" w:rsidRPr="003921AE" w:rsidRDefault="00472B7E" w:rsidP="00472B7E">
      <w:pPr>
        <w:pStyle w:val="NormalWeb"/>
        <w:numPr>
          <w:ilvl w:val="0"/>
          <w:numId w:val="7"/>
        </w:numPr>
        <w:spacing w:before="0" w:beforeAutospacing="0" w:after="120" w:afterAutospacing="0" w:line="300" w:lineRule="exact"/>
        <w:jc w:val="both"/>
        <w:rPr>
          <w:sz w:val="22"/>
          <w:szCs w:val="22"/>
        </w:rPr>
      </w:pPr>
      <w:r w:rsidRPr="003921AE">
        <w:rPr>
          <w:sz w:val="22"/>
          <w:szCs w:val="22"/>
        </w:rPr>
        <w:t xml:space="preserve">Recognition of ALE </w:t>
      </w:r>
      <w:proofErr w:type="spellStart"/>
      <w:r w:rsidRPr="003921AE">
        <w:rPr>
          <w:sz w:val="22"/>
          <w:szCs w:val="22"/>
        </w:rPr>
        <w:t>Centres</w:t>
      </w:r>
      <w:proofErr w:type="spellEnd"/>
      <w:r w:rsidRPr="003921AE">
        <w:rPr>
          <w:sz w:val="22"/>
          <w:szCs w:val="22"/>
        </w:rPr>
        <w:t xml:space="preserve"> as community development actors;</w:t>
      </w:r>
    </w:p>
    <w:p w14:paraId="77F95417" w14:textId="77777777" w:rsidR="00472B7E" w:rsidRPr="003921AE" w:rsidRDefault="00472B7E" w:rsidP="00472B7E">
      <w:pPr>
        <w:pStyle w:val="NormalWeb"/>
        <w:numPr>
          <w:ilvl w:val="0"/>
          <w:numId w:val="7"/>
        </w:numPr>
        <w:spacing w:before="0" w:beforeAutospacing="0" w:after="120" w:afterAutospacing="0" w:line="300" w:lineRule="exact"/>
        <w:jc w:val="both"/>
        <w:rPr>
          <w:sz w:val="22"/>
          <w:szCs w:val="22"/>
        </w:rPr>
      </w:pPr>
      <w:r w:rsidRPr="003921AE">
        <w:rPr>
          <w:sz w:val="22"/>
          <w:szCs w:val="22"/>
        </w:rPr>
        <w:t>Integration of ALE services into local development strategies.</w:t>
      </w:r>
    </w:p>
    <w:p w14:paraId="51C349CC" w14:textId="77777777" w:rsidR="00472B7E" w:rsidRPr="00C5245B" w:rsidRDefault="00472B7E" w:rsidP="00472B7E">
      <w:pPr>
        <w:pStyle w:val="NormalWeb"/>
        <w:spacing w:before="0" w:beforeAutospacing="0" w:after="120" w:afterAutospacing="0" w:line="300" w:lineRule="exact"/>
        <w:jc w:val="both"/>
        <w:rPr>
          <w:sz w:val="22"/>
          <w:szCs w:val="22"/>
          <w:lang w:val="en-GB"/>
        </w:rPr>
      </w:pPr>
    </w:p>
    <w:p w14:paraId="4BF2FE0F" w14:textId="77777777" w:rsidR="00472B7E" w:rsidRPr="00C5245B" w:rsidRDefault="00472B7E" w:rsidP="00472B7E">
      <w:pPr>
        <w:pStyle w:val="Heading1"/>
        <w:rPr>
          <w:rFonts w:ascii="Sylfaen" w:eastAsia="Calibri" w:hAnsi="Sylfaen"/>
          <w:lang w:val="en-GB"/>
        </w:rPr>
      </w:pPr>
      <w:r w:rsidRPr="00C5245B">
        <w:rPr>
          <w:lang w:val="en-GB"/>
        </w:rPr>
        <w:t xml:space="preserve">Objective </w:t>
      </w:r>
    </w:p>
    <w:p w14:paraId="44097551" w14:textId="12821EDB" w:rsidR="00472B7E" w:rsidRPr="00C5245B" w:rsidRDefault="00472B7E" w:rsidP="00472B7E">
      <w:pPr>
        <w:pStyle w:val="NormalWeb"/>
        <w:spacing w:after="120" w:line="300" w:lineRule="exact"/>
        <w:jc w:val="both"/>
        <w:rPr>
          <w:sz w:val="22"/>
          <w:szCs w:val="22"/>
          <w:lang w:val="en-GB"/>
        </w:rPr>
      </w:pPr>
      <w:r w:rsidRPr="00C5245B">
        <w:rPr>
          <w:sz w:val="22"/>
          <w:szCs w:val="22"/>
          <w:lang w:val="en-GB"/>
        </w:rPr>
        <w:t xml:space="preserve">DVV International Georgia (hereinafter referred to as the Client) seeks to contract </w:t>
      </w:r>
      <w:r w:rsidRPr="000333CE">
        <w:rPr>
          <w:sz w:val="22"/>
          <w:szCs w:val="22"/>
          <w:lang w:val="en-GB"/>
        </w:rPr>
        <w:t>an individual</w:t>
      </w:r>
      <w:r w:rsidRPr="00C5245B">
        <w:rPr>
          <w:sz w:val="22"/>
          <w:szCs w:val="22"/>
          <w:lang w:val="en-GB"/>
        </w:rPr>
        <w:t xml:space="preserve"> or a qualified organisation to design and deliver a structured </w:t>
      </w:r>
      <w:r>
        <w:rPr>
          <w:sz w:val="22"/>
          <w:szCs w:val="22"/>
          <w:lang w:val="en-GB"/>
        </w:rPr>
        <w:t>training</w:t>
      </w:r>
      <w:r w:rsidRPr="00C5245B">
        <w:rPr>
          <w:sz w:val="22"/>
          <w:szCs w:val="22"/>
          <w:lang w:val="en-GB"/>
        </w:rPr>
        <w:t xml:space="preserve"> on </w:t>
      </w:r>
      <w:r w:rsidRPr="000333CE">
        <w:rPr>
          <w:b/>
          <w:bCs/>
          <w:sz w:val="22"/>
          <w:szCs w:val="22"/>
          <w:lang w:val="en-GB"/>
        </w:rPr>
        <w:t>effective communication</w:t>
      </w:r>
      <w:r w:rsidRPr="00C5245B">
        <w:rPr>
          <w:sz w:val="22"/>
          <w:szCs w:val="22"/>
          <w:lang w:val="en-GB"/>
        </w:rPr>
        <w:t xml:space="preserve"> for </w:t>
      </w:r>
      <w:r>
        <w:rPr>
          <w:sz w:val="22"/>
          <w:szCs w:val="22"/>
        </w:rPr>
        <w:t xml:space="preserve">the representatives of the </w:t>
      </w:r>
      <w:r w:rsidRPr="00C5245B">
        <w:rPr>
          <w:sz w:val="22"/>
          <w:szCs w:val="22"/>
          <w:lang w:val="en-GB"/>
        </w:rPr>
        <w:t>15 Adult Learning and Education (ALE) Centres in Georgia.</w:t>
      </w:r>
    </w:p>
    <w:p w14:paraId="39E68589" w14:textId="77777777" w:rsidR="00472B7E" w:rsidRDefault="00472B7E" w:rsidP="00472B7E">
      <w:pPr>
        <w:pStyle w:val="NormalWeb"/>
        <w:spacing w:after="120" w:line="300" w:lineRule="exact"/>
        <w:jc w:val="both"/>
        <w:rPr>
          <w:sz w:val="22"/>
          <w:szCs w:val="22"/>
        </w:rPr>
      </w:pPr>
      <w:r w:rsidRPr="00C5245B">
        <w:rPr>
          <w:sz w:val="22"/>
          <w:szCs w:val="22"/>
          <w:lang w:val="en-GB"/>
        </w:rPr>
        <w:t xml:space="preserve">The overall objective of the assignment is </w:t>
      </w:r>
      <w:r>
        <w:rPr>
          <w:sz w:val="22"/>
          <w:szCs w:val="22"/>
          <w:lang w:val="en-GB"/>
        </w:rPr>
        <w:t xml:space="preserve">to </w:t>
      </w:r>
      <w:r>
        <w:rPr>
          <w:sz w:val="22"/>
          <w:szCs w:val="22"/>
        </w:rPr>
        <w:t>s</w:t>
      </w:r>
      <w:r w:rsidRPr="007B405A">
        <w:rPr>
          <w:sz w:val="22"/>
          <w:szCs w:val="22"/>
        </w:rPr>
        <w:t>trengthen the capacity of ALE Centre directors to</w:t>
      </w:r>
      <w:r>
        <w:rPr>
          <w:sz w:val="22"/>
          <w:szCs w:val="22"/>
        </w:rPr>
        <w:t>:</w:t>
      </w:r>
    </w:p>
    <w:p w14:paraId="5B9D9BD4" w14:textId="24E668A3" w:rsidR="00472B7E" w:rsidRPr="00D64CAB" w:rsidRDefault="00472B7E" w:rsidP="00472B7E">
      <w:pPr>
        <w:pStyle w:val="NormalWeb"/>
        <w:numPr>
          <w:ilvl w:val="0"/>
          <w:numId w:val="12"/>
        </w:numPr>
        <w:spacing w:after="120" w:line="300" w:lineRule="exact"/>
        <w:jc w:val="both"/>
        <w:rPr>
          <w:sz w:val="22"/>
          <w:szCs w:val="22"/>
          <w:lang w:val="en-GB"/>
        </w:rPr>
      </w:pPr>
      <w:r>
        <w:rPr>
          <w:sz w:val="22"/>
          <w:szCs w:val="22"/>
        </w:rPr>
        <w:t>C</w:t>
      </w:r>
      <w:r w:rsidRPr="007B405A">
        <w:rPr>
          <w:sz w:val="22"/>
          <w:szCs w:val="22"/>
        </w:rPr>
        <w:t xml:space="preserve">ommunicate effectively and strategically </w:t>
      </w:r>
      <w:r>
        <w:rPr>
          <w:sz w:val="22"/>
          <w:szCs w:val="22"/>
        </w:rPr>
        <w:t xml:space="preserve">the strategic stakeholders, particularly </w:t>
      </w:r>
      <w:r w:rsidRPr="007B405A">
        <w:rPr>
          <w:sz w:val="22"/>
          <w:szCs w:val="22"/>
        </w:rPr>
        <w:t>with local government representatives</w:t>
      </w:r>
      <w:r>
        <w:rPr>
          <w:sz w:val="22"/>
          <w:szCs w:val="22"/>
        </w:rPr>
        <w:t xml:space="preserve">; </w:t>
      </w:r>
    </w:p>
    <w:p w14:paraId="487003A9" w14:textId="77777777" w:rsidR="00472B7E" w:rsidRDefault="00472B7E" w:rsidP="00472B7E">
      <w:pPr>
        <w:pStyle w:val="NormalWeb"/>
        <w:numPr>
          <w:ilvl w:val="0"/>
          <w:numId w:val="12"/>
        </w:numPr>
        <w:spacing w:after="120" w:line="300" w:lineRule="exact"/>
        <w:jc w:val="both"/>
        <w:rPr>
          <w:sz w:val="22"/>
          <w:szCs w:val="22"/>
          <w:lang w:val="en-GB"/>
        </w:rPr>
      </w:pPr>
      <w:r w:rsidRPr="007B405A">
        <w:rPr>
          <w:sz w:val="22"/>
          <w:szCs w:val="22"/>
        </w:rPr>
        <w:t>Foster a unified and coherent network-level approach in negotiations with municipalities;</w:t>
      </w:r>
      <w:r>
        <w:rPr>
          <w:sz w:val="22"/>
          <w:szCs w:val="22"/>
          <w:lang w:val="en-GB"/>
        </w:rPr>
        <w:t xml:space="preserve"> </w:t>
      </w:r>
    </w:p>
    <w:p w14:paraId="0C49369A" w14:textId="77777777" w:rsidR="00472B7E" w:rsidRDefault="00472B7E" w:rsidP="00472B7E">
      <w:pPr>
        <w:pStyle w:val="NormalWeb"/>
        <w:numPr>
          <w:ilvl w:val="0"/>
          <w:numId w:val="12"/>
        </w:numPr>
        <w:spacing w:after="120" w:line="300" w:lineRule="exact"/>
        <w:jc w:val="both"/>
        <w:rPr>
          <w:sz w:val="22"/>
          <w:szCs w:val="22"/>
          <w:lang w:val="en-GB"/>
        </w:rPr>
      </w:pPr>
      <w:r w:rsidRPr="007B405A">
        <w:rPr>
          <w:sz w:val="22"/>
          <w:szCs w:val="22"/>
        </w:rPr>
        <w:t>Facilitate peer exchange on experiences, challenges, and good practices in municipal cooperation;</w:t>
      </w:r>
      <w:r>
        <w:rPr>
          <w:sz w:val="22"/>
          <w:szCs w:val="22"/>
          <w:lang w:val="en-GB"/>
        </w:rPr>
        <w:t xml:space="preserve"> </w:t>
      </w:r>
    </w:p>
    <w:p w14:paraId="417023E2" w14:textId="36490E15" w:rsidR="00472B7E" w:rsidRPr="00C5245B" w:rsidRDefault="00472B7E" w:rsidP="00472B7E">
      <w:pPr>
        <w:pStyle w:val="NormalWeb"/>
        <w:spacing w:after="120" w:line="300" w:lineRule="exact"/>
        <w:jc w:val="both"/>
        <w:rPr>
          <w:sz w:val="22"/>
          <w:szCs w:val="22"/>
          <w:lang w:val="en-GB"/>
        </w:rPr>
      </w:pPr>
      <w:r w:rsidRPr="00C5245B">
        <w:rPr>
          <w:sz w:val="22"/>
          <w:szCs w:val="22"/>
          <w:lang w:val="en-GB"/>
        </w:rPr>
        <w:t xml:space="preserve">The programme will target 15 directors (one representative per ALE Centre). The implementation period will </w:t>
      </w:r>
      <w:r>
        <w:rPr>
          <w:sz w:val="22"/>
          <w:szCs w:val="22"/>
          <w:lang w:val="en-GB"/>
        </w:rPr>
        <w:t xml:space="preserve">be May </w:t>
      </w:r>
      <w:r w:rsidRPr="00C5245B">
        <w:rPr>
          <w:sz w:val="22"/>
          <w:szCs w:val="22"/>
          <w:lang w:val="en-GB"/>
        </w:rPr>
        <w:t xml:space="preserve">2026. The training format </w:t>
      </w:r>
      <w:r>
        <w:rPr>
          <w:sz w:val="22"/>
          <w:szCs w:val="22"/>
          <w:lang w:val="en-GB"/>
        </w:rPr>
        <w:t xml:space="preserve">is on-site meeting. </w:t>
      </w:r>
    </w:p>
    <w:p w14:paraId="061D6BF3" w14:textId="77777777" w:rsidR="00472B7E" w:rsidRPr="00C5245B" w:rsidRDefault="00472B7E" w:rsidP="00472B7E">
      <w:pPr>
        <w:pStyle w:val="Heading1"/>
        <w:rPr>
          <w:lang w:val="en-GB"/>
        </w:rPr>
      </w:pPr>
      <w:r w:rsidRPr="00C5245B">
        <w:rPr>
          <w:lang w:val="en-GB"/>
        </w:rPr>
        <w:lastRenderedPageBreak/>
        <w:t>Scope of Work and Tasks</w:t>
      </w:r>
    </w:p>
    <w:p w14:paraId="31C2EA66" w14:textId="77777777" w:rsidR="00472B7E" w:rsidRDefault="00472B7E" w:rsidP="00472B7E">
      <w:pPr>
        <w:pStyle w:val="NormalWeb"/>
        <w:spacing w:after="120" w:line="300" w:lineRule="exact"/>
        <w:jc w:val="both"/>
        <w:rPr>
          <w:sz w:val="22"/>
          <w:szCs w:val="22"/>
          <w:lang w:val="en-GB"/>
        </w:rPr>
      </w:pPr>
      <w:r w:rsidRPr="00C5245B">
        <w:rPr>
          <w:sz w:val="22"/>
          <w:szCs w:val="22"/>
          <w:lang w:val="en-GB"/>
        </w:rPr>
        <w:t>The Contractor shall design and implement a comprehensive</w:t>
      </w:r>
      <w:r>
        <w:rPr>
          <w:sz w:val="22"/>
          <w:szCs w:val="22"/>
          <w:lang w:val="en-GB"/>
        </w:rPr>
        <w:t xml:space="preserve">, theoretical and </w:t>
      </w:r>
      <w:r w:rsidRPr="00C5245B">
        <w:rPr>
          <w:sz w:val="22"/>
          <w:szCs w:val="22"/>
          <w:lang w:val="en-GB"/>
        </w:rPr>
        <w:t>practice-oriented programme covering, but not limited to, the following components:</w:t>
      </w:r>
    </w:p>
    <w:p w14:paraId="1DA70979" w14:textId="77777777" w:rsidR="00472B7E" w:rsidRPr="00F409DD" w:rsidRDefault="00472B7E" w:rsidP="00472B7E">
      <w:pPr>
        <w:pStyle w:val="NormalWeb"/>
        <w:spacing w:after="120" w:line="300" w:lineRule="exact"/>
        <w:jc w:val="both"/>
        <w:rPr>
          <w:sz w:val="22"/>
          <w:szCs w:val="22"/>
        </w:rPr>
      </w:pPr>
      <w:r w:rsidRPr="00F409DD">
        <w:rPr>
          <w:b/>
          <w:bCs/>
          <w:sz w:val="22"/>
          <w:szCs w:val="22"/>
        </w:rPr>
        <w:t>1. Understanding Local Government Structures in Georgia</w:t>
      </w:r>
    </w:p>
    <w:p w14:paraId="2C232633" w14:textId="77777777" w:rsidR="00472B7E" w:rsidRPr="00F409DD" w:rsidRDefault="00472B7E" w:rsidP="00472B7E">
      <w:pPr>
        <w:pStyle w:val="NormalWeb"/>
        <w:numPr>
          <w:ilvl w:val="0"/>
          <w:numId w:val="8"/>
        </w:numPr>
        <w:spacing w:after="120" w:line="300" w:lineRule="exact"/>
        <w:jc w:val="both"/>
        <w:rPr>
          <w:sz w:val="22"/>
          <w:szCs w:val="22"/>
        </w:rPr>
      </w:pPr>
      <w:r w:rsidRPr="00F409DD">
        <w:rPr>
          <w:sz w:val="22"/>
          <w:szCs w:val="22"/>
        </w:rPr>
        <w:t>Decision-making processes at municipal level;</w:t>
      </w:r>
    </w:p>
    <w:p w14:paraId="5B7D31B1" w14:textId="77777777" w:rsidR="00472B7E" w:rsidRPr="00F409DD" w:rsidRDefault="00472B7E" w:rsidP="00472B7E">
      <w:pPr>
        <w:pStyle w:val="NormalWeb"/>
        <w:numPr>
          <w:ilvl w:val="0"/>
          <w:numId w:val="8"/>
        </w:numPr>
        <w:spacing w:after="120" w:line="300" w:lineRule="exact"/>
        <w:jc w:val="both"/>
        <w:rPr>
          <w:sz w:val="22"/>
          <w:szCs w:val="22"/>
        </w:rPr>
      </w:pPr>
      <w:r w:rsidRPr="00F409DD">
        <w:rPr>
          <w:sz w:val="22"/>
          <w:szCs w:val="22"/>
        </w:rPr>
        <w:t>Roles of mayors, councils, and administrative units;</w:t>
      </w:r>
    </w:p>
    <w:p w14:paraId="6CE831DC" w14:textId="77777777" w:rsidR="00472B7E" w:rsidRPr="00F409DD" w:rsidRDefault="00472B7E" w:rsidP="00472B7E">
      <w:pPr>
        <w:pStyle w:val="NormalWeb"/>
        <w:numPr>
          <w:ilvl w:val="0"/>
          <w:numId w:val="8"/>
        </w:numPr>
        <w:spacing w:after="120" w:line="300" w:lineRule="exact"/>
        <w:jc w:val="both"/>
        <w:rPr>
          <w:sz w:val="22"/>
          <w:szCs w:val="22"/>
        </w:rPr>
      </w:pPr>
      <w:r w:rsidRPr="00F409DD">
        <w:rPr>
          <w:sz w:val="22"/>
          <w:szCs w:val="22"/>
        </w:rPr>
        <w:t>Entry points for cooperation.</w:t>
      </w:r>
    </w:p>
    <w:p w14:paraId="22CDA79B" w14:textId="77777777" w:rsidR="00472B7E" w:rsidRPr="00F409DD" w:rsidRDefault="00472B7E" w:rsidP="00472B7E">
      <w:pPr>
        <w:pStyle w:val="NormalWeb"/>
        <w:spacing w:after="120" w:line="300" w:lineRule="exact"/>
        <w:jc w:val="both"/>
        <w:rPr>
          <w:sz w:val="22"/>
          <w:szCs w:val="22"/>
        </w:rPr>
      </w:pPr>
      <w:r>
        <w:rPr>
          <w:b/>
          <w:bCs/>
          <w:sz w:val="22"/>
          <w:szCs w:val="22"/>
        </w:rPr>
        <w:t>2</w:t>
      </w:r>
      <w:r w:rsidRPr="00F409DD">
        <w:rPr>
          <w:b/>
          <w:bCs/>
          <w:sz w:val="22"/>
          <w:szCs w:val="22"/>
        </w:rPr>
        <w:t>. Effective Communication with Government Stakeholders</w:t>
      </w:r>
    </w:p>
    <w:p w14:paraId="46A3A153" w14:textId="77777777" w:rsidR="00472B7E" w:rsidRPr="00F409DD" w:rsidRDefault="00472B7E" w:rsidP="00472B7E">
      <w:pPr>
        <w:pStyle w:val="NormalWeb"/>
        <w:numPr>
          <w:ilvl w:val="0"/>
          <w:numId w:val="9"/>
        </w:numPr>
        <w:spacing w:after="120" w:line="300" w:lineRule="exact"/>
        <w:jc w:val="both"/>
        <w:rPr>
          <w:sz w:val="22"/>
          <w:szCs w:val="22"/>
        </w:rPr>
      </w:pPr>
      <w:r w:rsidRPr="00F409DD">
        <w:rPr>
          <w:sz w:val="22"/>
          <w:szCs w:val="22"/>
        </w:rPr>
        <w:t>Framing messages strategically;</w:t>
      </w:r>
    </w:p>
    <w:p w14:paraId="0E70D9F4" w14:textId="77777777" w:rsidR="00472B7E" w:rsidRPr="00F409DD" w:rsidRDefault="00472B7E" w:rsidP="00472B7E">
      <w:pPr>
        <w:pStyle w:val="NormalWeb"/>
        <w:numPr>
          <w:ilvl w:val="0"/>
          <w:numId w:val="9"/>
        </w:numPr>
        <w:spacing w:after="120" w:line="300" w:lineRule="exact"/>
        <w:jc w:val="both"/>
        <w:rPr>
          <w:sz w:val="22"/>
          <w:szCs w:val="22"/>
        </w:rPr>
      </w:pPr>
      <w:r w:rsidRPr="00F409DD">
        <w:rPr>
          <w:sz w:val="22"/>
          <w:szCs w:val="22"/>
        </w:rPr>
        <w:t>Evidence-based advocacy;</w:t>
      </w:r>
    </w:p>
    <w:p w14:paraId="1A660F3A" w14:textId="77777777" w:rsidR="00472B7E" w:rsidRPr="00F409DD" w:rsidRDefault="00472B7E" w:rsidP="00472B7E">
      <w:pPr>
        <w:pStyle w:val="NormalWeb"/>
        <w:numPr>
          <w:ilvl w:val="0"/>
          <w:numId w:val="9"/>
        </w:numPr>
        <w:spacing w:after="120" w:line="300" w:lineRule="exact"/>
        <w:jc w:val="both"/>
        <w:rPr>
          <w:sz w:val="22"/>
          <w:szCs w:val="22"/>
        </w:rPr>
      </w:pPr>
      <w:r w:rsidRPr="00F409DD">
        <w:rPr>
          <w:sz w:val="22"/>
          <w:szCs w:val="22"/>
        </w:rPr>
        <w:t>Managing formal and informal communication channels.</w:t>
      </w:r>
    </w:p>
    <w:p w14:paraId="5862F6A4" w14:textId="77777777" w:rsidR="00472B7E" w:rsidRPr="00F409DD" w:rsidRDefault="00472B7E" w:rsidP="00472B7E">
      <w:pPr>
        <w:pStyle w:val="NormalWeb"/>
        <w:spacing w:after="120" w:line="300" w:lineRule="exact"/>
        <w:jc w:val="both"/>
        <w:rPr>
          <w:sz w:val="22"/>
          <w:szCs w:val="22"/>
        </w:rPr>
      </w:pPr>
      <w:r>
        <w:rPr>
          <w:b/>
          <w:bCs/>
          <w:sz w:val="22"/>
          <w:szCs w:val="22"/>
        </w:rPr>
        <w:t>3</w:t>
      </w:r>
      <w:r w:rsidRPr="00F409DD">
        <w:rPr>
          <w:b/>
          <w:bCs/>
          <w:sz w:val="22"/>
          <w:szCs w:val="22"/>
        </w:rPr>
        <w:t>. Negotiation Techniques</w:t>
      </w:r>
    </w:p>
    <w:p w14:paraId="679CD1DC" w14:textId="77777777" w:rsidR="00472B7E" w:rsidRPr="00F409DD" w:rsidRDefault="00472B7E" w:rsidP="00472B7E">
      <w:pPr>
        <w:pStyle w:val="NormalWeb"/>
        <w:numPr>
          <w:ilvl w:val="0"/>
          <w:numId w:val="10"/>
        </w:numPr>
        <w:spacing w:after="120" w:line="300" w:lineRule="exact"/>
        <w:jc w:val="both"/>
        <w:rPr>
          <w:sz w:val="22"/>
          <w:szCs w:val="22"/>
        </w:rPr>
      </w:pPr>
      <w:r w:rsidRPr="00F409DD">
        <w:rPr>
          <w:sz w:val="22"/>
          <w:szCs w:val="22"/>
        </w:rPr>
        <w:t>Interest-based negotiation;</w:t>
      </w:r>
    </w:p>
    <w:p w14:paraId="062BCE6D" w14:textId="77777777" w:rsidR="00472B7E" w:rsidRPr="00F409DD" w:rsidRDefault="00472B7E" w:rsidP="00472B7E">
      <w:pPr>
        <w:pStyle w:val="NormalWeb"/>
        <w:numPr>
          <w:ilvl w:val="0"/>
          <w:numId w:val="10"/>
        </w:numPr>
        <w:spacing w:after="120" w:line="300" w:lineRule="exact"/>
        <w:jc w:val="both"/>
        <w:rPr>
          <w:sz w:val="22"/>
          <w:szCs w:val="22"/>
        </w:rPr>
      </w:pPr>
      <w:r w:rsidRPr="00F409DD">
        <w:rPr>
          <w:sz w:val="22"/>
          <w:szCs w:val="22"/>
        </w:rPr>
        <w:t>Managing difficult conversations;</w:t>
      </w:r>
    </w:p>
    <w:p w14:paraId="599AD57B" w14:textId="77777777" w:rsidR="00472B7E" w:rsidRPr="00F409DD" w:rsidRDefault="00472B7E" w:rsidP="00472B7E">
      <w:pPr>
        <w:pStyle w:val="NormalWeb"/>
        <w:numPr>
          <w:ilvl w:val="0"/>
          <w:numId w:val="10"/>
        </w:numPr>
        <w:spacing w:after="120" w:line="300" w:lineRule="exact"/>
        <w:jc w:val="both"/>
        <w:rPr>
          <w:sz w:val="22"/>
          <w:szCs w:val="22"/>
        </w:rPr>
      </w:pPr>
      <w:r w:rsidRPr="00F409DD">
        <w:rPr>
          <w:sz w:val="22"/>
          <w:szCs w:val="22"/>
        </w:rPr>
        <w:t>Achieving win-win outcomes.</w:t>
      </w:r>
    </w:p>
    <w:p w14:paraId="23FCBE21" w14:textId="77777777" w:rsidR="00472B7E" w:rsidRPr="00F409DD" w:rsidRDefault="00472B7E" w:rsidP="00472B7E">
      <w:pPr>
        <w:pStyle w:val="NormalWeb"/>
        <w:spacing w:after="120" w:line="300" w:lineRule="exact"/>
        <w:jc w:val="both"/>
        <w:rPr>
          <w:sz w:val="22"/>
          <w:szCs w:val="22"/>
        </w:rPr>
      </w:pPr>
      <w:r>
        <w:rPr>
          <w:b/>
          <w:bCs/>
          <w:sz w:val="22"/>
          <w:szCs w:val="22"/>
        </w:rPr>
        <w:t>4</w:t>
      </w:r>
      <w:r w:rsidRPr="00F409DD">
        <w:rPr>
          <w:b/>
          <w:bCs/>
          <w:sz w:val="22"/>
          <w:szCs w:val="22"/>
        </w:rPr>
        <w:t>. Conflict Resolution and Risk Management</w:t>
      </w:r>
    </w:p>
    <w:p w14:paraId="3216C7CA" w14:textId="77777777" w:rsidR="00472B7E" w:rsidRPr="00F409DD" w:rsidRDefault="00472B7E" w:rsidP="00472B7E">
      <w:pPr>
        <w:pStyle w:val="NormalWeb"/>
        <w:numPr>
          <w:ilvl w:val="0"/>
          <w:numId w:val="11"/>
        </w:numPr>
        <w:spacing w:after="120" w:line="300" w:lineRule="exact"/>
        <w:jc w:val="both"/>
        <w:rPr>
          <w:sz w:val="22"/>
          <w:szCs w:val="22"/>
        </w:rPr>
      </w:pPr>
      <w:r w:rsidRPr="00F409DD">
        <w:rPr>
          <w:sz w:val="22"/>
          <w:szCs w:val="22"/>
        </w:rPr>
        <w:t>De-escalation techniques;</w:t>
      </w:r>
    </w:p>
    <w:p w14:paraId="2EFB5505" w14:textId="77777777" w:rsidR="00472B7E" w:rsidRPr="00F409DD" w:rsidRDefault="00472B7E" w:rsidP="00472B7E">
      <w:pPr>
        <w:pStyle w:val="NormalWeb"/>
        <w:numPr>
          <w:ilvl w:val="0"/>
          <w:numId w:val="11"/>
        </w:numPr>
        <w:spacing w:after="120" w:line="300" w:lineRule="exact"/>
        <w:jc w:val="both"/>
        <w:rPr>
          <w:sz w:val="22"/>
          <w:szCs w:val="22"/>
        </w:rPr>
      </w:pPr>
      <w:r w:rsidRPr="00F409DD">
        <w:rPr>
          <w:sz w:val="22"/>
          <w:szCs w:val="22"/>
        </w:rPr>
        <w:t>Handling political sensitivities;</w:t>
      </w:r>
    </w:p>
    <w:p w14:paraId="7AF962FA" w14:textId="77777777" w:rsidR="00472B7E" w:rsidRPr="00F409DD" w:rsidRDefault="00472B7E" w:rsidP="00472B7E">
      <w:pPr>
        <w:pStyle w:val="NormalWeb"/>
        <w:numPr>
          <w:ilvl w:val="0"/>
          <w:numId w:val="11"/>
        </w:numPr>
        <w:spacing w:after="120" w:line="300" w:lineRule="exact"/>
        <w:jc w:val="both"/>
        <w:rPr>
          <w:sz w:val="22"/>
          <w:szCs w:val="22"/>
        </w:rPr>
      </w:pPr>
      <w:r w:rsidRPr="00F409DD">
        <w:rPr>
          <w:sz w:val="22"/>
          <w:szCs w:val="22"/>
        </w:rPr>
        <w:t>Maintaining constructive relationships.</w:t>
      </w:r>
    </w:p>
    <w:p w14:paraId="4C56F992" w14:textId="77777777" w:rsidR="00472B7E" w:rsidRDefault="00472B7E" w:rsidP="00472B7E">
      <w:pPr>
        <w:suppressAutoHyphens w:val="0"/>
        <w:spacing w:after="0" w:line="240" w:lineRule="auto"/>
        <w:contextualSpacing/>
        <w:rPr>
          <w:rFonts w:ascii="Times New Roman" w:hAnsi="Times New Roman"/>
          <w:b/>
          <w:bCs/>
          <w:lang w:val="en-US"/>
        </w:rPr>
      </w:pPr>
    </w:p>
    <w:p w14:paraId="3FB12D7B" w14:textId="77777777" w:rsidR="00472B7E" w:rsidRPr="00C5245B" w:rsidRDefault="00472B7E" w:rsidP="00472B7E">
      <w:pPr>
        <w:suppressAutoHyphens w:val="0"/>
        <w:spacing w:after="0" w:line="240" w:lineRule="auto"/>
        <w:contextualSpacing/>
        <w:rPr>
          <w:rFonts w:ascii="Times New Roman" w:hAnsi="Times New Roman"/>
          <w:b/>
          <w:bCs/>
          <w:lang w:val="en-US"/>
        </w:rPr>
      </w:pPr>
      <w:r w:rsidRPr="00C5245B">
        <w:rPr>
          <w:rFonts w:ascii="Times New Roman" w:hAnsi="Times New Roman"/>
          <w:b/>
          <w:bCs/>
          <w:lang w:val="en-US"/>
        </w:rPr>
        <w:t>Monitoring, Evaluation and Reporting Responsibilities</w:t>
      </w:r>
    </w:p>
    <w:p w14:paraId="0B2AA08D" w14:textId="77777777" w:rsidR="00472B7E" w:rsidRPr="00C5245B" w:rsidRDefault="00472B7E" w:rsidP="00472B7E">
      <w:p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The Contractor shall be responsible for collecting, consolidating, and submitting monitoring and evaluation (M&amp;E) related information for all activities conducted under this assignment.</w:t>
      </w:r>
      <w:r>
        <w:rPr>
          <w:rFonts w:ascii="Times New Roman" w:hAnsi="Times New Roman"/>
          <w:lang w:val="en-US"/>
        </w:rPr>
        <w:t xml:space="preserve"> </w:t>
      </w:r>
      <w:r w:rsidRPr="00C5245B">
        <w:rPr>
          <w:rFonts w:ascii="Times New Roman" w:hAnsi="Times New Roman"/>
          <w:lang w:val="en-US"/>
        </w:rPr>
        <w:t>This shall include, but not be limited to:</w:t>
      </w:r>
    </w:p>
    <w:p w14:paraId="7D5E0508" w14:textId="77777777" w:rsidR="00472B7E" w:rsidRPr="00C5245B" w:rsidRDefault="00472B7E" w:rsidP="00472B7E">
      <w:pPr>
        <w:numPr>
          <w:ilvl w:val="0"/>
          <w:numId w:val="6"/>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pre- and post-training assessment results, where applicable;</w:t>
      </w:r>
    </w:p>
    <w:p w14:paraId="1AF3EC82" w14:textId="77777777" w:rsidR="00472B7E" w:rsidRPr="00C5245B" w:rsidRDefault="00472B7E" w:rsidP="00472B7E">
      <w:pPr>
        <w:numPr>
          <w:ilvl w:val="0"/>
          <w:numId w:val="6"/>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participant feedback forms and summary analysis;</w:t>
      </w:r>
    </w:p>
    <w:p w14:paraId="1AC50095" w14:textId="2BADFF71" w:rsidR="00472B7E" w:rsidRPr="00C5245B" w:rsidRDefault="00472B7E" w:rsidP="00472B7E">
      <w:pPr>
        <w:numPr>
          <w:ilvl w:val="0"/>
          <w:numId w:val="6"/>
        </w:numPr>
        <w:suppressAutoHyphens w:val="0"/>
        <w:spacing w:after="0" w:line="240" w:lineRule="auto"/>
        <w:contextualSpacing/>
        <w:jc w:val="both"/>
        <w:rPr>
          <w:rFonts w:ascii="Times New Roman" w:hAnsi="Times New Roman"/>
          <w:lang w:val="en-US"/>
        </w:rPr>
      </w:pPr>
      <w:r w:rsidRPr="00C5245B">
        <w:rPr>
          <w:rFonts w:ascii="Times New Roman" w:hAnsi="Times New Roman"/>
          <w:lang w:val="en-US"/>
        </w:rPr>
        <w:t>brief narrative training report, including key outcomes and observations;</w:t>
      </w:r>
    </w:p>
    <w:p w14:paraId="24548047" w14:textId="77777777" w:rsidR="00472B7E" w:rsidRPr="00C5245B" w:rsidRDefault="00472B7E" w:rsidP="00472B7E">
      <w:pPr>
        <w:suppressAutoHyphens w:val="0"/>
        <w:spacing w:after="0" w:line="240" w:lineRule="auto"/>
        <w:contextualSpacing/>
        <w:rPr>
          <w:rFonts w:ascii="Times New Roman" w:hAnsi="Times New Roman"/>
          <w:lang w:val="en-US"/>
        </w:rPr>
      </w:pPr>
    </w:p>
    <w:p w14:paraId="58C9EC53" w14:textId="77777777" w:rsidR="00472B7E" w:rsidRPr="00C5245B" w:rsidRDefault="00472B7E" w:rsidP="00472B7E">
      <w:pPr>
        <w:suppressAutoHyphens w:val="0"/>
        <w:spacing w:after="0" w:line="240" w:lineRule="auto"/>
        <w:contextualSpacing/>
        <w:rPr>
          <w:rFonts w:ascii="Times New Roman" w:hAnsi="Times New Roman"/>
          <w:b/>
          <w:bCs/>
          <w:lang w:val="en-GB"/>
        </w:rPr>
      </w:pPr>
      <w:r w:rsidRPr="00C5245B">
        <w:rPr>
          <w:rFonts w:ascii="Times New Roman" w:hAnsi="Times New Roman"/>
          <w:b/>
          <w:bCs/>
          <w:lang w:val="en-GB"/>
        </w:rPr>
        <w:t>Expected Approach</w:t>
      </w:r>
    </w:p>
    <w:p w14:paraId="557BFF66" w14:textId="77777777" w:rsidR="00472B7E" w:rsidRPr="00C5245B" w:rsidRDefault="00472B7E" w:rsidP="00472B7E">
      <w:pPr>
        <w:suppressAutoHyphens w:val="0"/>
        <w:spacing w:after="0" w:line="240" w:lineRule="auto"/>
        <w:contextualSpacing/>
        <w:rPr>
          <w:rFonts w:ascii="Times New Roman" w:hAnsi="Times New Roman"/>
          <w:lang w:val="en-GB"/>
        </w:rPr>
      </w:pPr>
      <w:r w:rsidRPr="00C5245B">
        <w:rPr>
          <w:rFonts w:ascii="Times New Roman" w:hAnsi="Times New Roman"/>
          <w:lang w:val="en-GB"/>
        </w:rPr>
        <w:t>The Contractor shall ensure that the programme:</w:t>
      </w:r>
    </w:p>
    <w:p w14:paraId="1101BE54" w14:textId="77777777" w:rsidR="00472B7E" w:rsidRPr="00C5245B" w:rsidRDefault="00472B7E" w:rsidP="00472B7E">
      <w:pPr>
        <w:numPr>
          <w:ilvl w:val="0"/>
          <w:numId w:val="4"/>
        </w:numPr>
        <w:suppressAutoHyphens w:val="0"/>
        <w:spacing w:after="0" w:line="240" w:lineRule="auto"/>
        <w:contextualSpacing/>
        <w:rPr>
          <w:rFonts w:ascii="Times New Roman" w:hAnsi="Times New Roman"/>
          <w:lang w:val="en-GB"/>
        </w:rPr>
      </w:pPr>
      <w:r w:rsidRPr="00C5245B">
        <w:rPr>
          <w:rFonts w:ascii="Times New Roman" w:hAnsi="Times New Roman"/>
          <w:lang w:val="en-GB"/>
        </w:rPr>
        <w:t xml:space="preserve">Is </w:t>
      </w:r>
      <w:r>
        <w:rPr>
          <w:rFonts w:ascii="Times New Roman" w:hAnsi="Times New Roman"/>
          <w:lang w:val="en-GB"/>
        </w:rPr>
        <w:t xml:space="preserve">both theoretical and </w:t>
      </w:r>
      <w:r w:rsidRPr="00C5245B">
        <w:rPr>
          <w:rFonts w:ascii="Times New Roman" w:hAnsi="Times New Roman"/>
          <w:lang w:val="en-GB"/>
        </w:rPr>
        <w:t xml:space="preserve">practical, context-sensitive, and adapted to the realities of ALE Centres in </w:t>
      </w:r>
      <w:r>
        <w:rPr>
          <w:rFonts w:ascii="Times New Roman" w:hAnsi="Times New Roman"/>
          <w:lang w:val="en-GB"/>
        </w:rPr>
        <w:t xml:space="preserve">respective </w:t>
      </w:r>
      <w:r w:rsidRPr="00C5245B">
        <w:rPr>
          <w:rFonts w:ascii="Times New Roman" w:hAnsi="Times New Roman"/>
          <w:lang w:val="en-GB"/>
        </w:rPr>
        <w:t>municipalities;</w:t>
      </w:r>
    </w:p>
    <w:p w14:paraId="0AEF60EE" w14:textId="77777777" w:rsidR="00472B7E" w:rsidRPr="00C5245B" w:rsidRDefault="00472B7E" w:rsidP="00472B7E">
      <w:pPr>
        <w:numPr>
          <w:ilvl w:val="0"/>
          <w:numId w:val="4"/>
        </w:numPr>
        <w:suppressAutoHyphens w:val="0"/>
        <w:spacing w:after="0" w:line="240" w:lineRule="auto"/>
        <w:contextualSpacing/>
        <w:rPr>
          <w:rFonts w:ascii="Times New Roman" w:hAnsi="Times New Roman"/>
          <w:lang w:val="en-GB"/>
        </w:rPr>
      </w:pPr>
      <w:r w:rsidRPr="00C5245B">
        <w:rPr>
          <w:rFonts w:ascii="Times New Roman" w:hAnsi="Times New Roman"/>
          <w:lang w:val="en-GB"/>
        </w:rPr>
        <w:t>Combines training, mentoring, and applied learning;</w:t>
      </w:r>
    </w:p>
    <w:p w14:paraId="18745C99" w14:textId="399D4B55" w:rsidR="00472B7E" w:rsidRDefault="00472B7E" w:rsidP="00472B7E">
      <w:pPr>
        <w:numPr>
          <w:ilvl w:val="0"/>
          <w:numId w:val="4"/>
        </w:numPr>
        <w:spacing w:after="0"/>
        <w:contextualSpacing/>
        <w:rPr>
          <w:rFonts w:ascii="Times New Roman" w:hAnsi="Times New Roman"/>
          <w:lang w:val="en-US"/>
        </w:rPr>
      </w:pPr>
      <w:r w:rsidRPr="00834E29">
        <w:rPr>
          <w:rFonts w:ascii="Times New Roman" w:hAnsi="Times New Roman"/>
          <w:lang w:val="en-GB"/>
        </w:rPr>
        <w:t>Encourages peer exchange and collaborative learning among ALE Centres</w:t>
      </w:r>
      <w:r w:rsidR="00C15066">
        <w:rPr>
          <w:rFonts w:ascii="Times New Roman" w:hAnsi="Times New Roman"/>
          <w:lang w:val="en-GB"/>
        </w:rPr>
        <w:t>.</w:t>
      </w:r>
    </w:p>
    <w:p w14:paraId="43110963" w14:textId="77777777" w:rsidR="00472B7E" w:rsidRPr="00C5245B" w:rsidRDefault="00472B7E" w:rsidP="00472B7E">
      <w:pPr>
        <w:suppressAutoHyphens w:val="0"/>
        <w:spacing w:after="0" w:line="240" w:lineRule="auto"/>
        <w:contextualSpacing/>
        <w:rPr>
          <w:rFonts w:ascii="Times New Roman" w:hAnsi="Times New Roman"/>
          <w:lang w:val="en-GB"/>
        </w:rPr>
      </w:pPr>
      <w:r>
        <w:rPr>
          <w:rFonts w:ascii="Times New Roman" w:hAnsi="Times New Roman"/>
          <w:lang w:val="en-US"/>
        </w:rPr>
        <w:t>The Contractor shall p</w:t>
      </w:r>
      <w:proofErr w:type="spellStart"/>
      <w:r>
        <w:rPr>
          <w:rFonts w:ascii="Times New Roman" w:hAnsi="Times New Roman"/>
          <w:lang w:val="en-GB"/>
        </w:rPr>
        <w:t>ropose</w:t>
      </w:r>
      <w:proofErr w:type="spellEnd"/>
      <w:r>
        <w:rPr>
          <w:rFonts w:ascii="Times New Roman" w:hAnsi="Times New Roman"/>
          <w:lang w:val="en-GB"/>
        </w:rPr>
        <w:t xml:space="preserve"> the duration, as well as the content of the training in the submitted proposal.</w:t>
      </w:r>
    </w:p>
    <w:p w14:paraId="7FA1F074" w14:textId="77777777" w:rsidR="00472B7E" w:rsidRPr="00834E29" w:rsidRDefault="00472B7E" w:rsidP="00472B7E">
      <w:pPr>
        <w:spacing w:after="0"/>
        <w:contextualSpacing/>
        <w:rPr>
          <w:rFonts w:ascii="Times New Roman" w:hAnsi="Times New Roman"/>
          <w:lang w:val="en-GB"/>
        </w:rPr>
      </w:pPr>
    </w:p>
    <w:p w14:paraId="02929C03" w14:textId="77777777" w:rsidR="00472B7E" w:rsidRPr="00C5245B" w:rsidRDefault="00472B7E" w:rsidP="00472B7E">
      <w:pPr>
        <w:pStyle w:val="Heading1"/>
        <w:rPr>
          <w:rFonts w:eastAsia="Times New Roman"/>
          <w:lang w:val="en-GB"/>
        </w:rPr>
      </w:pPr>
      <w:r w:rsidRPr="00C5245B">
        <w:rPr>
          <w:rFonts w:eastAsia="Times New Roman"/>
          <w:lang w:val="en-GB"/>
        </w:rPr>
        <w:t>Data Ownership and Use</w:t>
      </w:r>
    </w:p>
    <w:p w14:paraId="4D77DAF5"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 xml:space="preserve">All data, reports, analyses, visual materials, and other outputs produced under this assignment shall remain the property of </w:t>
      </w:r>
      <w:r>
        <w:rPr>
          <w:sz w:val="22"/>
          <w:szCs w:val="22"/>
          <w:lang w:val="en-GB"/>
        </w:rPr>
        <w:t>the Client.</w:t>
      </w:r>
    </w:p>
    <w:p w14:paraId="0A17C7DE"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 xml:space="preserve">The Contractor may not publish, disseminate, or otherwise use the findings, data, or materials generated through this assignment for external purposes without the prior written approval of </w:t>
      </w:r>
      <w:r>
        <w:rPr>
          <w:sz w:val="22"/>
          <w:szCs w:val="22"/>
          <w:lang w:val="en-GB"/>
        </w:rPr>
        <w:t>the Client.</w:t>
      </w:r>
    </w:p>
    <w:p w14:paraId="4D5B587A"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The Contractor shall ensure that all raw data and final outputs are submitted to the Client upon completion of the assignment.</w:t>
      </w:r>
    </w:p>
    <w:p w14:paraId="445E2F70" w14:textId="77777777" w:rsidR="00472B7E" w:rsidRPr="00C5245B" w:rsidRDefault="00472B7E" w:rsidP="00472B7E">
      <w:pPr>
        <w:pStyle w:val="Heading1"/>
        <w:rPr>
          <w:rFonts w:eastAsia="Times New Roman"/>
          <w:lang w:val="en-GB"/>
        </w:rPr>
      </w:pPr>
      <w:r w:rsidRPr="00C5245B">
        <w:rPr>
          <w:rFonts w:eastAsia="Times New Roman"/>
          <w:lang w:val="en-GB"/>
        </w:rPr>
        <w:t>Management and Staffing Arrangements</w:t>
      </w:r>
    </w:p>
    <w:p w14:paraId="6C4EC3D6" w14:textId="1F0B43BE" w:rsidR="00472B7E" w:rsidRPr="00C5245B" w:rsidRDefault="00472B7E" w:rsidP="00472B7E">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 xml:space="preserve">The assignment may be implemented by an individual consultant, a pool of trainers, or a legally registered organisation with demonstrated expertise in </w:t>
      </w:r>
      <w:r w:rsidR="00C15066">
        <w:rPr>
          <w:rFonts w:ascii="Times New Roman" w:eastAsia="Times New Roman" w:hAnsi="Times New Roman"/>
          <w:lang w:val="en-GB" w:eastAsia="en-US"/>
        </w:rPr>
        <w:t xml:space="preserve">effective communication </w:t>
      </w:r>
      <w:r w:rsidRPr="00C5245B">
        <w:rPr>
          <w:rFonts w:ascii="Times New Roman" w:eastAsia="Times New Roman" w:hAnsi="Times New Roman"/>
          <w:lang w:val="en-GB" w:eastAsia="en-US"/>
        </w:rPr>
        <w:t>for civil society institutions.</w:t>
      </w:r>
    </w:p>
    <w:p w14:paraId="24BBD504" w14:textId="77777777" w:rsidR="00472B7E" w:rsidRPr="00C5245B" w:rsidRDefault="00472B7E" w:rsidP="00472B7E">
      <w:pPr>
        <w:suppressAutoHyphens w:val="0"/>
        <w:spacing w:after="0" w:line="240" w:lineRule="auto"/>
        <w:contextualSpacing/>
        <w:rPr>
          <w:rFonts w:ascii="Times New Roman" w:eastAsia="Times New Roman" w:hAnsi="Times New Roman"/>
          <w:lang w:val="en-GB" w:eastAsia="en-US"/>
        </w:rPr>
      </w:pPr>
    </w:p>
    <w:p w14:paraId="54E7C010" w14:textId="77777777" w:rsidR="00472B7E" w:rsidRPr="00C5245B" w:rsidRDefault="00472B7E" w:rsidP="00472B7E">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 xml:space="preserve">The Contractor shall designate a Team Leader (if applicable) who will serve as the primary contact point for </w:t>
      </w:r>
      <w:r>
        <w:rPr>
          <w:rFonts w:ascii="Times New Roman" w:eastAsia="Times New Roman" w:hAnsi="Times New Roman"/>
          <w:lang w:val="en-GB" w:eastAsia="en-US"/>
        </w:rPr>
        <w:t>the Client</w:t>
      </w:r>
      <w:r w:rsidRPr="00C5245B">
        <w:rPr>
          <w:rFonts w:ascii="Times New Roman" w:eastAsia="Times New Roman" w:hAnsi="Times New Roman"/>
          <w:lang w:val="en-GB" w:eastAsia="en-US"/>
        </w:rPr>
        <w:t xml:space="preserve"> and will be responsible for overall coordination, quality assurance, timely delivery of outputs, and communication with the Client.</w:t>
      </w:r>
    </w:p>
    <w:p w14:paraId="59BFF5D6" w14:textId="77777777" w:rsidR="00472B7E" w:rsidRPr="00C5245B" w:rsidRDefault="00472B7E" w:rsidP="00472B7E">
      <w:pPr>
        <w:suppressAutoHyphens w:val="0"/>
        <w:spacing w:after="0" w:line="240" w:lineRule="auto"/>
        <w:contextualSpacing/>
        <w:rPr>
          <w:rFonts w:ascii="Times New Roman" w:eastAsia="Times New Roman" w:hAnsi="Times New Roman"/>
          <w:lang w:val="en-GB" w:eastAsia="en-US"/>
        </w:rPr>
      </w:pPr>
    </w:p>
    <w:p w14:paraId="3446EC48" w14:textId="77777777" w:rsidR="00472B7E" w:rsidRDefault="00472B7E" w:rsidP="00472B7E">
      <w:pPr>
        <w:suppressAutoHyphens w:val="0"/>
        <w:spacing w:after="0" w:line="240" w:lineRule="auto"/>
        <w:contextualSpacing/>
        <w:rPr>
          <w:rFonts w:ascii="Times New Roman" w:eastAsia="Times New Roman" w:hAnsi="Times New Roman"/>
          <w:lang w:val="en-GB" w:eastAsia="en-US"/>
        </w:rPr>
      </w:pPr>
      <w:r w:rsidRPr="00C5245B">
        <w:rPr>
          <w:rFonts w:ascii="Times New Roman" w:eastAsia="Times New Roman" w:hAnsi="Times New Roman"/>
          <w:lang w:val="en-GB" w:eastAsia="en-US"/>
        </w:rPr>
        <w:t>Where a team is proposed, clear roles and responsibilities of each team member shall be defined in the proposal.</w:t>
      </w:r>
    </w:p>
    <w:p w14:paraId="1FE36252" w14:textId="77777777" w:rsidR="00472B7E" w:rsidRDefault="00472B7E" w:rsidP="00472B7E">
      <w:pPr>
        <w:suppressAutoHyphens w:val="0"/>
        <w:spacing w:after="0" w:line="240" w:lineRule="auto"/>
        <w:contextualSpacing/>
        <w:rPr>
          <w:rFonts w:ascii="Times New Roman" w:hAnsi="Times New Roman"/>
          <w:b/>
          <w:bCs/>
          <w:lang w:val="en-GB"/>
        </w:rPr>
      </w:pPr>
    </w:p>
    <w:p w14:paraId="713FA74C" w14:textId="77777777" w:rsidR="00472B7E" w:rsidRPr="00C5245B" w:rsidRDefault="00472B7E" w:rsidP="00472B7E">
      <w:pPr>
        <w:suppressAutoHyphens w:val="0"/>
        <w:spacing w:after="0" w:line="240" w:lineRule="auto"/>
        <w:contextualSpacing/>
        <w:rPr>
          <w:rFonts w:ascii="Times New Roman" w:hAnsi="Times New Roman"/>
          <w:b/>
          <w:bCs/>
          <w:lang w:val="en-US"/>
        </w:rPr>
      </w:pPr>
      <w:r w:rsidRPr="00C5245B">
        <w:rPr>
          <w:rFonts w:ascii="Times New Roman" w:hAnsi="Times New Roman"/>
          <w:b/>
          <w:bCs/>
          <w:lang w:val="en-GB"/>
        </w:rPr>
        <w:t xml:space="preserve">Profile </w:t>
      </w:r>
      <w:r w:rsidRPr="00C5245B">
        <w:rPr>
          <w:rFonts w:ascii="Times New Roman" w:hAnsi="Times New Roman"/>
          <w:b/>
          <w:bCs/>
          <w:lang w:val="en-US"/>
        </w:rPr>
        <w:t>and Qualifications of the Trainer(s)</w:t>
      </w:r>
    </w:p>
    <w:p w14:paraId="320201B3" w14:textId="77777777" w:rsidR="00472B7E" w:rsidRDefault="00472B7E" w:rsidP="00472B7E">
      <w:pPr>
        <w:pStyle w:val="NormalWeb"/>
        <w:spacing w:before="0" w:beforeAutospacing="0" w:after="0" w:afterAutospacing="0" w:line="300" w:lineRule="exact"/>
        <w:jc w:val="both"/>
        <w:rPr>
          <w:b/>
          <w:bCs/>
          <w:sz w:val="22"/>
          <w:szCs w:val="22"/>
          <w:lang w:val="en-GB"/>
        </w:rPr>
      </w:pPr>
    </w:p>
    <w:p w14:paraId="120809DF" w14:textId="77777777" w:rsidR="00472B7E" w:rsidRPr="00C5245B" w:rsidRDefault="00472B7E" w:rsidP="00472B7E">
      <w:pPr>
        <w:pStyle w:val="NormalWeb"/>
        <w:spacing w:before="0" w:beforeAutospacing="0" w:after="0" w:afterAutospacing="0" w:line="300" w:lineRule="exact"/>
        <w:jc w:val="both"/>
        <w:rPr>
          <w:b/>
          <w:bCs/>
          <w:sz w:val="22"/>
          <w:szCs w:val="22"/>
          <w:lang w:val="en-GB"/>
        </w:rPr>
      </w:pPr>
      <w:r w:rsidRPr="00C5245B">
        <w:rPr>
          <w:b/>
          <w:bCs/>
          <w:sz w:val="22"/>
          <w:szCs w:val="22"/>
          <w:lang w:val="en-GB"/>
        </w:rPr>
        <w:t>Professional Experience</w:t>
      </w:r>
    </w:p>
    <w:p w14:paraId="596F5B52" w14:textId="77777777" w:rsidR="00472B7E" w:rsidRPr="00C5245B" w:rsidRDefault="00472B7E" w:rsidP="00472B7E">
      <w:pPr>
        <w:pStyle w:val="NormalWeb"/>
        <w:numPr>
          <w:ilvl w:val="0"/>
          <w:numId w:val="5"/>
        </w:numPr>
        <w:spacing w:before="0" w:beforeAutospacing="0" w:after="120" w:afterAutospacing="0" w:line="300" w:lineRule="exact"/>
        <w:jc w:val="both"/>
        <w:rPr>
          <w:sz w:val="22"/>
          <w:szCs w:val="22"/>
          <w:lang w:val="en-GB"/>
        </w:rPr>
      </w:pPr>
      <w:r w:rsidRPr="00C5245B">
        <w:rPr>
          <w:sz w:val="22"/>
          <w:szCs w:val="22"/>
          <w:lang w:val="en-GB"/>
        </w:rPr>
        <w:t xml:space="preserve">Proven experience in delivering capacity-building programmes in </w:t>
      </w:r>
      <w:r>
        <w:rPr>
          <w:sz w:val="22"/>
          <w:szCs w:val="22"/>
          <w:lang w:val="en-GB"/>
        </w:rPr>
        <w:t>effective communication.</w:t>
      </w:r>
    </w:p>
    <w:p w14:paraId="200F322E" w14:textId="77777777" w:rsidR="00472B7E" w:rsidRPr="00276865" w:rsidRDefault="00472B7E" w:rsidP="00472B7E">
      <w:pPr>
        <w:pStyle w:val="NormalWeb"/>
        <w:numPr>
          <w:ilvl w:val="0"/>
          <w:numId w:val="5"/>
        </w:numPr>
        <w:spacing w:before="0" w:beforeAutospacing="0" w:after="120" w:afterAutospacing="0" w:line="300" w:lineRule="exact"/>
        <w:jc w:val="both"/>
        <w:rPr>
          <w:sz w:val="22"/>
          <w:szCs w:val="22"/>
        </w:rPr>
      </w:pPr>
      <w:r w:rsidRPr="00C5245B">
        <w:rPr>
          <w:sz w:val="22"/>
          <w:szCs w:val="22"/>
          <w:lang w:val="en-GB"/>
        </w:rPr>
        <w:t>Demonstrated practical experience in</w:t>
      </w:r>
      <w:r>
        <w:rPr>
          <w:sz w:val="22"/>
          <w:szCs w:val="22"/>
          <w:lang w:val="en-GB"/>
        </w:rPr>
        <w:t xml:space="preserve"> </w:t>
      </w:r>
      <w:r w:rsidRPr="00276865">
        <w:rPr>
          <w:sz w:val="22"/>
          <w:szCs w:val="22"/>
        </w:rPr>
        <w:t xml:space="preserve">delivering capacity-building </w:t>
      </w:r>
      <w:proofErr w:type="spellStart"/>
      <w:r w:rsidRPr="00276865">
        <w:rPr>
          <w:sz w:val="22"/>
          <w:szCs w:val="22"/>
        </w:rPr>
        <w:t>programmes</w:t>
      </w:r>
      <w:proofErr w:type="spellEnd"/>
      <w:r w:rsidRPr="00276865">
        <w:rPr>
          <w:sz w:val="22"/>
          <w:szCs w:val="22"/>
        </w:rPr>
        <w:t xml:space="preserve"> in one or more of the following areas:</w:t>
      </w:r>
    </w:p>
    <w:p w14:paraId="0204DCF1" w14:textId="77777777" w:rsidR="00472B7E" w:rsidRPr="000333CE" w:rsidRDefault="00472B7E" w:rsidP="00472B7E">
      <w:pPr>
        <w:pStyle w:val="NormalWeb"/>
        <w:numPr>
          <w:ilvl w:val="1"/>
          <w:numId w:val="5"/>
        </w:numPr>
        <w:spacing w:before="0" w:beforeAutospacing="0" w:after="120" w:afterAutospacing="0" w:line="300" w:lineRule="exact"/>
        <w:jc w:val="both"/>
        <w:rPr>
          <w:sz w:val="22"/>
          <w:szCs w:val="22"/>
          <w:lang w:val="en-GB"/>
        </w:rPr>
      </w:pPr>
      <w:r w:rsidRPr="000333CE">
        <w:rPr>
          <w:sz w:val="22"/>
          <w:szCs w:val="22"/>
          <w:lang w:val="en-GB"/>
        </w:rPr>
        <w:t>Stakeholder engagement;</w:t>
      </w:r>
    </w:p>
    <w:p w14:paraId="0F9CAEF1" w14:textId="77777777" w:rsidR="00472B7E" w:rsidRPr="000333CE" w:rsidRDefault="00472B7E" w:rsidP="00472B7E">
      <w:pPr>
        <w:pStyle w:val="NormalWeb"/>
        <w:numPr>
          <w:ilvl w:val="1"/>
          <w:numId w:val="5"/>
        </w:numPr>
        <w:spacing w:before="0" w:beforeAutospacing="0" w:after="120" w:afterAutospacing="0" w:line="300" w:lineRule="exact"/>
        <w:jc w:val="both"/>
        <w:rPr>
          <w:sz w:val="22"/>
          <w:szCs w:val="22"/>
          <w:lang w:val="en-GB"/>
        </w:rPr>
      </w:pPr>
      <w:r w:rsidRPr="000333CE">
        <w:rPr>
          <w:sz w:val="22"/>
          <w:szCs w:val="22"/>
          <w:lang w:val="en-GB"/>
        </w:rPr>
        <w:t>Public sector communication;</w:t>
      </w:r>
    </w:p>
    <w:p w14:paraId="08F01F89" w14:textId="77777777" w:rsidR="00472B7E" w:rsidRPr="000333CE" w:rsidRDefault="00472B7E" w:rsidP="00472B7E">
      <w:pPr>
        <w:pStyle w:val="NormalWeb"/>
        <w:numPr>
          <w:ilvl w:val="1"/>
          <w:numId w:val="5"/>
        </w:numPr>
        <w:spacing w:before="0" w:beforeAutospacing="0" w:after="120" w:afterAutospacing="0" w:line="300" w:lineRule="exact"/>
        <w:jc w:val="both"/>
        <w:rPr>
          <w:sz w:val="22"/>
          <w:szCs w:val="22"/>
          <w:lang w:val="en-GB"/>
        </w:rPr>
      </w:pPr>
      <w:r w:rsidRPr="000333CE">
        <w:rPr>
          <w:sz w:val="22"/>
          <w:szCs w:val="22"/>
          <w:lang w:val="en-GB"/>
        </w:rPr>
        <w:t>Negotiation and mediation;</w:t>
      </w:r>
    </w:p>
    <w:p w14:paraId="7EF675ED" w14:textId="7512FD3F" w:rsidR="00472B7E" w:rsidRPr="000333CE" w:rsidRDefault="008A2E7F" w:rsidP="00472B7E">
      <w:pPr>
        <w:pStyle w:val="NormalWeb"/>
        <w:numPr>
          <w:ilvl w:val="1"/>
          <w:numId w:val="5"/>
        </w:numPr>
        <w:spacing w:before="0" w:beforeAutospacing="0" w:after="120" w:afterAutospacing="0" w:line="300" w:lineRule="exact"/>
        <w:jc w:val="both"/>
        <w:rPr>
          <w:sz w:val="22"/>
          <w:szCs w:val="22"/>
          <w:lang w:val="en-GB"/>
        </w:rPr>
      </w:pPr>
      <w:r>
        <w:rPr>
          <w:sz w:val="22"/>
          <w:szCs w:val="22"/>
          <w:lang w:val="en-GB"/>
        </w:rPr>
        <w:t>G</w:t>
      </w:r>
      <w:r w:rsidR="00472B7E" w:rsidRPr="000333CE">
        <w:rPr>
          <w:sz w:val="22"/>
          <w:szCs w:val="22"/>
          <w:lang w:val="en-GB"/>
        </w:rPr>
        <w:t>overnment relations;</w:t>
      </w:r>
    </w:p>
    <w:p w14:paraId="5016F6EA" w14:textId="77777777" w:rsidR="00472B7E" w:rsidRPr="000333CE" w:rsidRDefault="00472B7E" w:rsidP="00472B7E">
      <w:pPr>
        <w:pStyle w:val="NormalWeb"/>
        <w:numPr>
          <w:ilvl w:val="1"/>
          <w:numId w:val="5"/>
        </w:numPr>
        <w:spacing w:before="0" w:beforeAutospacing="0" w:after="120" w:afterAutospacing="0" w:line="300" w:lineRule="exact"/>
        <w:jc w:val="both"/>
        <w:rPr>
          <w:sz w:val="22"/>
          <w:szCs w:val="22"/>
          <w:lang w:val="en-GB"/>
        </w:rPr>
      </w:pPr>
      <w:r w:rsidRPr="000333CE">
        <w:rPr>
          <w:sz w:val="22"/>
          <w:szCs w:val="22"/>
          <w:lang w:val="en-GB"/>
        </w:rPr>
        <w:t>Institutional development of CSOs.</w:t>
      </w:r>
    </w:p>
    <w:p w14:paraId="1C0B458D" w14:textId="77777777" w:rsidR="00472B7E" w:rsidRPr="00C5245B" w:rsidRDefault="00472B7E" w:rsidP="00472B7E">
      <w:pPr>
        <w:pStyle w:val="NormalWeb"/>
        <w:numPr>
          <w:ilvl w:val="0"/>
          <w:numId w:val="5"/>
        </w:numPr>
        <w:spacing w:before="0" w:beforeAutospacing="0" w:after="120" w:afterAutospacing="0" w:line="300" w:lineRule="exact"/>
        <w:jc w:val="both"/>
        <w:rPr>
          <w:sz w:val="22"/>
          <w:szCs w:val="22"/>
          <w:lang w:val="en-GB"/>
        </w:rPr>
      </w:pPr>
      <w:r w:rsidRPr="00C5245B">
        <w:rPr>
          <w:sz w:val="22"/>
          <w:szCs w:val="22"/>
          <w:lang w:val="en-GB"/>
        </w:rPr>
        <w:t>Experience working with civil society organisations</w:t>
      </w:r>
      <w:r>
        <w:rPr>
          <w:sz w:val="22"/>
          <w:szCs w:val="22"/>
          <w:lang w:val="en-GB"/>
        </w:rPr>
        <w:t xml:space="preserve"> and </w:t>
      </w:r>
      <w:r w:rsidRPr="00C5245B">
        <w:rPr>
          <w:sz w:val="22"/>
          <w:szCs w:val="22"/>
          <w:lang w:val="en-GB"/>
        </w:rPr>
        <w:t>or community-based organisations in Georgia.</w:t>
      </w:r>
    </w:p>
    <w:p w14:paraId="77780431" w14:textId="77777777" w:rsidR="00472B7E" w:rsidRDefault="00472B7E" w:rsidP="00472B7E">
      <w:pPr>
        <w:pStyle w:val="NormalWeb"/>
        <w:spacing w:before="0" w:beforeAutospacing="0" w:after="0" w:afterAutospacing="0" w:line="300" w:lineRule="exact"/>
        <w:jc w:val="both"/>
        <w:rPr>
          <w:b/>
          <w:bCs/>
          <w:sz w:val="22"/>
          <w:szCs w:val="22"/>
          <w:lang w:val="en-GB"/>
        </w:rPr>
      </w:pPr>
    </w:p>
    <w:p w14:paraId="5245C110" w14:textId="77777777" w:rsidR="00472B7E" w:rsidRPr="00C5245B" w:rsidRDefault="00472B7E" w:rsidP="00472B7E">
      <w:pPr>
        <w:pStyle w:val="NormalWeb"/>
        <w:spacing w:before="0" w:beforeAutospacing="0" w:after="0" w:afterAutospacing="0" w:line="300" w:lineRule="exact"/>
        <w:jc w:val="both"/>
        <w:rPr>
          <w:b/>
          <w:bCs/>
          <w:sz w:val="22"/>
          <w:szCs w:val="22"/>
          <w:lang w:val="en-GB"/>
        </w:rPr>
      </w:pPr>
      <w:r w:rsidRPr="00C5245B">
        <w:rPr>
          <w:b/>
          <w:bCs/>
          <w:sz w:val="22"/>
          <w:szCs w:val="22"/>
          <w:lang w:val="en-GB"/>
        </w:rPr>
        <w:t>Technical Competence</w:t>
      </w:r>
    </w:p>
    <w:p w14:paraId="590C66FE" w14:textId="77777777" w:rsidR="00472B7E" w:rsidRPr="00C5245B" w:rsidRDefault="00472B7E" w:rsidP="00472B7E">
      <w:pPr>
        <w:pStyle w:val="NormalWeb"/>
        <w:numPr>
          <w:ilvl w:val="0"/>
          <w:numId w:val="5"/>
        </w:numPr>
        <w:spacing w:before="0" w:beforeAutospacing="0" w:after="120" w:afterAutospacing="0" w:line="300" w:lineRule="exact"/>
        <w:jc w:val="both"/>
        <w:rPr>
          <w:sz w:val="22"/>
          <w:szCs w:val="22"/>
          <w:lang w:val="en-GB"/>
        </w:rPr>
      </w:pPr>
      <w:r w:rsidRPr="00C5245B">
        <w:rPr>
          <w:sz w:val="22"/>
          <w:szCs w:val="22"/>
          <w:lang w:val="en-GB"/>
        </w:rPr>
        <w:t>Ability to design interactive, practice-oriented training methodologies;</w:t>
      </w:r>
    </w:p>
    <w:p w14:paraId="4BD7F27E" w14:textId="77777777" w:rsidR="00472B7E" w:rsidRPr="000333CE" w:rsidRDefault="00472B7E" w:rsidP="00472B7E">
      <w:pPr>
        <w:pStyle w:val="NormalWeb"/>
        <w:numPr>
          <w:ilvl w:val="0"/>
          <w:numId w:val="5"/>
        </w:numPr>
        <w:spacing w:before="0" w:beforeAutospacing="0" w:after="120" w:afterAutospacing="0" w:line="300" w:lineRule="exact"/>
        <w:jc w:val="both"/>
        <w:rPr>
          <w:sz w:val="22"/>
          <w:szCs w:val="22"/>
        </w:rPr>
      </w:pPr>
      <w:r w:rsidRPr="00FC382E">
        <w:rPr>
          <w:sz w:val="22"/>
          <w:szCs w:val="22"/>
        </w:rPr>
        <w:t>Strong understanding of</w:t>
      </w:r>
      <w:r>
        <w:rPr>
          <w:sz w:val="22"/>
          <w:szCs w:val="22"/>
        </w:rPr>
        <w:t xml:space="preserve"> t</w:t>
      </w:r>
      <w:r w:rsidRPr="00FC382E">
        <w:rPr>
          <w:sz w:val="22"/>
          <w:szCs w:val="22"/>
        </w:rPr>
        <w:t>he Georgian local governance system</w:t>
      </w:r>
      <w:r w:rsidRPr="00F67C29">
        <w:rPr>
          <w:sz w:val="22"/>
          <w:szCs w:val="22"/>
        </w:rPr>
        <w:t>, d</w:t>
      </w:r>
      <w:r w:rsidRPr="00FC382E">
        <w:rPr>
          <w:sz w:val="22"/>
          <w:szCs w:val="22"/>
        </w:rPr>
        <w:t>ecision-making processes at municipal level</w:t>
      </w:r>
      <w:r w:rsidRPr="00F67C29">
        <w:rPr>
          <w:sz w:val="22"/>
          <w:szCs w:val="22"/>
        </w:rPr>
        <w:t>, t</w:t>
      </w:r>
      <w:r w:rsidRPr="00FC382E">
        <w:rPr>
          <w:sz w:val="22"/>
          <w:szCs w:val="22"/>
        </w:rPr>
        <w:t>he current political and legislative environment affecting CSOs.</w:t>
      </w:r>
    </w:p>
    <w:p w14:paraId="367EABE8" w14:textId="77777777" w:rsidR="00472B7E" w:rsidRPr="00FC382E" w:rsidRDefault="00472B7E" w:rsidP="00472B7E">
      <w:pPr>
        <w:pStyle w:val="NormalWeb"/>
        <w:spacing w:before="0" w:beforeAutospacing="0" w:after="120" w:afterAutospacing="0" w:line="300" w:lineRule="exact"/>
        <w:ind w:left="360"/>
        <w:jc w:val="both"/>
        <w:rPr>
          <w:b/>
          <w:bCs/>
          <w:sz w:val="22"/>
          <w:szCs w:val="22"/>
          <w:lang w:val="en-GB"/>
        </w:rPr>
      </w:pPr>
    </w:p>
    <w:p w14:paraId="3495BED8" w14:textId="77777777" w:rsidR="00472B7E" w:rsidRPr="00C5245B" w:rsidRDefault="00472B7E" w:rsidP="00472B7E">
      <w:pPr>
        <w:pStyle w:val="NormalWeb"/>
        <w:spacing w:before="0" w:beforeAutospacing="0" w:after="120" w:afterAutospacing="0" w:line="300" w:lineRule="exact"/>
        <w:jc w:val="both"/>
        <w:rPr>
          <w:b/>
          <w:bCs/>
          <w:sz w:val="22"/>
          <w:szCs w:val="22"/>
          <w:lang w:val="en-GB"/>
        </w:rPr>
      </w:pPr>
      <w:r w:rsidRPr="00C5245B">
        <w:rPr>
          <w:b/>
          <w:bCs/>
          <w:sz w:val="22"/>
          <w:szCs w:val="22"/>
          <w:lang w:val="en-GB"/>
        </w:rPr>
        <w:t>Language Skills</w:t>
      </w:r>
    </w:p>
    <w:p w14:paraId="6FC73CF5" w14:textId="77777777" w:rsidR="00472B7E" w:rsidRPr="00C5245B" w:rsidRDefault="00472B7E" w:rsidP="00472B7E">
      <w:pPr>
        <w:pStyle w:val="NormalWeb"/>
        <w:numPr>
          <w:ilvl w:val="0"/>
          <w:numId w:val="5"/>
        </w:numPr>
        <w:spacing w:before="0" w:beforeAutospacing="0" w:after="120" w:afterAutospacing="0" w:line="300" w:lineRule="exact"/>
        <w:jc w:val="both"/>
        <w:rPr>
          <w:sz w:val="22"/>
          <w:szCs w:val="22"/>
          <w:lang w:val="en-GB"/>
        </w:rPr>
      </w:pPr>
      <w:r w:rsidRPr="00C5245B">
        <w:rPr>
          <w:sz w:val="22"/>
          <w:szCs w:val="22"/>
          <w:lang w:val="en-GB"/>
        </w:rPr>
        <w:t>Excellent command of written and spoken Georgian;</w:t>
      </w:r>
    </w:p>
    <w:p w14:paraId="497A70B3" w14:textId="77777777" w:rsidR="00472B7E" w:rsidRPr="00C5245B" w:rsidRDefault="00472B7E" w:rsidP="00472B7E">
      <w:pPr>
        <w:pStyle w:val="NormalWeb"/>
        <w:numPr>
          <w:ilvl w:val="0"/>
          <w:numId w:val="5"/>
        </w:numPr>
        <w:spacing w:before="0" w:beforeAutospacing="0" w:after="120" w:afterAutospacing="0" w:line="300" w:lineRule="exact"/>
        <w:jc w:val="both"/>
        <w:rPr>
          <w:sz w:val="22"/>
          <w:szCs w:val="22"/>
          <w:lang w:val="en-GB"/>
        </w:rPr>
      </w:pPr>
      <w:r w:rsidRPr="00C5245B">
        <w:rPr>
          <w:sz w:val="22"/>
          <w:szCs w:val="22"/>
          <w:lang w:val="en-GB"/>
        </w:rPr>
        <w:t>Good command of English for communication and reporting purposes.</w:t>
      </w:r>
    </w:p>
    <w:p w14:paraId="794259DE" w14:textId="77777777" w:rsidR="00472B7E" w:rsidRPr="00C5245B" w:rsidRDefault="00472B7E" w:rsidP="00472B7E">
      <w:pPr>
        <w:pStyle w:val="Heading1"/>
        <w:rPr>
          <w:lang w:val="en-GB"/>
        </w:rPr>
      </w:pPr>
      <w:r w:rsidRPr="00C5245B">
        <w:rPr>
          <w:lang w:val="en-GB"/>
        </w:rPr>
        <w:t>Contract Duration and Indicative Timeline</w:t>
      </w:r>
    </w:p>
    <w:p w14:paraId="017E877F" w14:textId="77777777" w:rsidR="00472B7E" w:rsidRPr="00C5245B" w:rsidRDefault="00472B7E" w:rsidP="00472B7E">
      <w:pPr>
        <w:pStyle w:val="NormalWeb"/>
        <w:spacing w:after="120" w:line="300" w:lineRule="exact"/>
        <w:jc w:val="both"/>
        <w:rPr>
          <w:sz w:val="22"/>
          <w:szCs w:val="22"/>
          <w:lang w:val="en-GB"/>
        </w:rPr>
      </w:pPr>
      <w:r w:rsidRPr="00C5245B">
        <w:rPr>
          <w:sz w:val="22"/>
          <w:szCs w:val="22"/>
          <w:lang w:val="en-GB"/>
        </w:rPr>
        <w:t xml:space="preserve">The Client intends to conclude a contract with the selected Contractor for the anticipated period from </w:t>
      </w:r>
      <w:r>
        <w:rPr>
          <w:sz w:val="22"/>
          <w:szCs w:val="22"/>
          <w:lang w:val="en-GB"/>
        </w:rPr>
        <w:t>May 1st</w:t>
      </w:r>
      <w:r w:rsidRPr="00C5245B">
        <w:rPr>
          <w:sz w:val="22"/>
          <w:szCs w:val="22"/>
          <w:lang w:val="en-GB"/>
        </w:rPr>
        <w:t xml:space="preserve"> 2026 to </w:t>
      </w:r>
      <w:r>
        <w:rPr>
          <w:sz w:val="22"/>
          <w:szCs w:val="22"/>
          <w:lang w:val="en-GB"/>
        </w:rPr>
        <w:t>31</w:t>
      </w:r>
      <w:proofErr w:type="gramStart"/>
      <w:r w:rsidRPr="000011A0">
        <w:rPr>
          <w:sz w:val="22"/>
          <w:szCs w:val="22"/>
          <w:vertAlign w:val="superscript"/>
          <w:lang w:val="en-GB"/>
        </w:rPr>
        <w:t>st</w:t>
      </w:r>
      <w:r>
        <w:rPr>
          <w:sz w:val="22"/>
          <w:szCs w:val="22"/>
          <w:lang w:val="en-GB"/>
        </w:rPr>
        <w:t xml:space="preserve"> </w:t>
      </w:r>
      <w:r w:rsidRPr="00C5245B">
        <w:rPr>
          <w:sz w:val="22"/>
          <w:szCs w:val="22"/>
          <w:lang w:val="en-GB"/>
        </w:rPr>
        <w:t xml:space="preserve"> </w:t>
      </w:r>
      <w:r>
        <w:rPr>
          <w:sz w:val="22"/>
          <w:szCs w:val="22"/>
          <w:lang w:val="en-GB"/>
        </w:rPr>
        <w:t>May</w:t>
      </w:r>
      <w:proofErr w:type="gramEnd"/>
      <w:r w:rsidRPr="00C5245B">
        <w:rPr>
          <w:sz w:val="22"/>
          <w:szCs w:val="22"/>
          <w:lang w:val="en-GB"/>
        </w:rPr>
        <w:t xml:space="preserve"> 2026.</w:t>
      </w:r>
    </w:p>
    <w:p w14:paraId="6E20D1B3"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This timeframe is indicative and reflects the expected implementation and delivery schedule of the assignment, including training delivery, mentoring support, and final reporting. Any adjustments to the timeline may be agreed upon in writing between the parties, subject to operational needs and mutual consent.</w:t>
      </w:r>
    </w:p>
    <w:p w14:paraId="7C19B391" w14:textId="77777777" w:rsidR="00472B7E" w:rsidRPr="00C5245B" w:rsidRDefault="00472B7E" w:rsidP="00472B7E">
      <w:pPr>
        <w:pStyle w:val="Heading1"/>
        <w:rPr>
          <w:rFonts w:eastAsia="Calibri"/>
          <w:lang w:val="en-GB"/>
        </w:rPr>
      </w:pPr>
      <w:r w:rsidRPr="00C5245B">
        <w:rPr>
          <w:rFonts w:eastAsia="Calibri"/>
          <w:lang w:val="en-GB"/>
        </w:rPr>
        <w:t>Application and Financial Proposal Requirements</w:t>
      </w:r>
    </w:p>
    <w:p w14:paraId="010AAA81" w14:textId="77777777" w:rsidR="00472B7E" w:rsidRPr="00C5245B" w:rsidRDefault="00472B7E" w:rsidP="00472B7E">
      <w:pPr>
        <w:pStyle w:val="NormalWeb"/>
        <w:numPr>
          <w:ilvl w:val="0"/>
          <w:numId w:val="1"/>
        </w:numPr>
        <w:spacing w:before="0" w:beforeAutospacing="0" w:after="120" w:afterAutospacing="0" w:line="300" w:lineRule="exact"/>
        <w:jc w:val="both"/>
        <w:rPr>
          <w:rFonts w:eastAsia="Calibri"/>
          <w:sz w:val="22"/>
          <w:szCs w:val="22"/>
          <w:lang w:val="en-GB" w:eastAsia="ar-SA"/>
        </w:rPr>
      </w:pPr>
      <w:r w:rsidRPr="00C5245B">
        <w:rPr>
          <w:rFonts w:eastAsia="Calibri"/>
          <w:sz w:val="22"/>
          <w:szCs w:val="22"/>
          <w:lang w:val="en-GB" w:eastAsia="ar-SA"/>
        </w:rPr>
        <w:t>Technical Proposal</w:t>
      </w:r>
    </w:p>
    <w:p w14:paraId="113BCED7"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The tenderer is required to submit a Technical Proposal consisting of the following elements:</w:t>
      </w:r>
    </w:p>
    <w:p w14:paraId="3E7AB585" w14:textId="77777777" w:rsidR="00472B7E" w:rsidRPr="00C5245B" w:rsidRDefault="00472B7E" w:rsidP="00472B7E">
      <w:pPr>
        <w:pStyle w:val="NormalWeb"/>
        <w:numPr>
          <w:ilvl w:val="0"/>
          <w:numId w:val="2"/>
        </w:numPr>
        <w:spacing w:before="0" w:beforeAutospacing="0" w:after="120" w:afterAutospacing="0" w:line="300" w:lineRule="exact"/>
        <w:jc w:val="both"/>
        <w:rPr>
          <w:sz w:val="22"/>
          <w:szCs w:val="22"/>
          <w:lang w:val="en-GB"/>
        </w:rPr>
      </w:pPr>
      <w:r w:rsidRPr="00C5245B">
        <w:rPr>
          <w:b/>
          <w:bCs/>
          <w:sz w:val="22"/>
          <w:szCs w:val="22"/>
          <w:lang w:val="en-GB"/>
        </w:rPr>
        <w:t xml:space="preserve">Concept Note- </w:t>
      </w:r>
      <w:r w:rsidRPr="00C5245B">
        <w:rPr>
          <w:sz w:val="22"/>
          <w:szCs w:val="22"/>
          <w:lang w:val="en-GB"/>
        </w:rPr>
        <w:t xml:space="preserve">describing the proposed approach to delivering the services outlined in the section </w:t>
      </w:r>
      <w:r>
        <w:rPr>
          <w:i/>
          <w:iCs/>
          <w:sz w:val="22"/>
          <w:szCs w:val="22"/>
          <w:lang w:val="en-GB"/>
        </w:rPr>
        <w:t>Scope of work and tasks</w:t>
      </w:r>
      <w:r w:rsidRPr="00C5245B">
        <w:rPr>
          <w:sz w:val="22"/>
          <w:szCs w:val="22"/>
          <w:lang w:val="en-GB"/>
        </w:rPr>
        <w:t xml:space="preserve">, including understanding of the assignment, proposed approach, workplan, and team organisation. The concept note shall not exceed </w:t>
      </w:r>
      <w:r>
        <w:rPr>
          <w:sz w:val="22"/>
          <w:szCs w:val="22"/>
          <w:lang w:val="en-GB"/>
        </w:rPr>
        <w:t>5</w:t>
      </w:r>
      <w:r w:rsidRPr="00C5245B">
        <w:rPr>
          <w:sz w:val="22"/>
          <w:szCs w:val="22"/>
          <w:lang w:val="en-GB"/>
        </w:rPr>
        <w:t xml:space="preserve"> pages and has to be submitted in English.</w:t>
      </w:r>
    </w:p>
    <w:p w14:paraId="04928321" w14:textId="230749B7" w:rsidR="00472B7E" w:rsidRPr="00C5245B" w:rsidRDefault="00472B7E" w:rsidP="00472B7E">
      <w:pPr>
        <w:pStyle w:val="NormalWeb"/>
        <w:numPr>
          <w:ilvl w:val="0"/>
          <w:numId w:val="2"/>
        </w:numPr>
        <w:spacing w:before="0" w:beforeAutospacing="0" w:after="120" w:afterAutospacing="0" w:line="300" w:lineRule="exact"/>
        <w:jc w:val="both"/>
        <w:rPr>
          <w:sz w:val="22"/>
          <w:szCs w:val="22"/>
          <w:lang w:val="en-GB"/>
        </w:rPr>
      </w:pPr>
      <w:r w:rsidRPr="00C5245B">
        <w:rPr>
          <w:b/>
          <w:bCs/>
          <w:sz w:val="22"/>
          <w:szCs w:val="22"/>
          <w:lang w:val="en-GB"/>
        </w:rPr>
        <w:t xml:space="preserve">CVs- </w:t>
      </w:r>
      <w:r w:rsidRPr="00C5245B">
        <w:rPr>
          <w:sz w:val="22"/>
          <w:szCs w:val="22"/>
          <w:lang w:val="en-GB"/>
        </w:rPr>
        <w:t>of all proposed trainers. Each CV shall not exceed four pages</w:t>
      </w:r>
      <w:r>
        <w:rPr>
          <w:sz w:val="22"/>
          <w:szCs w:val="22"/>
          <w:lang w:val="en-GB"/>
        </w:rPr>
        <w:t xml:space="preserve">, </w:t>
      </w:r>
      <w:r w:rsidRPr="00C5245B">
        <w:rPr>
          <w:sz w:val="22"/>
          <w:szCs w:val="22"/>
        </w:rPr>
        <w:t>highlight</w:t>
      </w:r>
      <w:r>
        <w:rPr>
          <w:sz w:val="22"/>
          <w:szCs w:val="22"/>
        </w:rPr>
        <w:t>ing</w:t>
      </w:r>
      <w:r w:rsidRPr="00C5245B">
        <w:rPr>
          <w:sz w:val="22"/>
          <w:szCs w:val="22"/>
        </w:rPr>
        <w:t xml:space="preserve"> relevant experience in</w:t>
      </w:r>
      <w:r w:rsidR="00171F33">
        <w:rPr>
          <w:sz w:val="22"/>
          <w:szCs w:val="22"/>
        </w:rPr>
        <w:t xml:space="preserve"> effective communication</w:t>
      </w:r>
      <w:r w:rsidRPr="00C5245B">
        <w:rPr>
          <w:sz w:val="22"/>
          <w:szCs w:val="22"/>
        </w:rPr>
        <w:t>, training delivery, and work with CSOs.</w:t>
      </w:r>
    </w:p>
    <w:p w14:paraId="03BD2FA8" w14:textId="77777777" w:rsidR="00472B7E" w:rsidRPr="00C5245B" w:rsidRDefault="00472B7E" w:rsidP="00472B7E">
      <w:pPr>
        <w:pStyle w:val="NormalWeb"/>
        <w:numPr>
          <w:ilvl w:val="0"/>
          <w:numId w:val="2"/>
        </w:numPr>
        <w:spacing w:before="0" w:beforeAutospacing="0" w:after="120" w:afterAutospacing="0" w:line="300" w:lineRule="exact"/>
        <w:jc w:val="both"/>
        <w:rPr>
          <w:sz w:val="22"/>
          <w:szCs w:val="22"/>
          <w:lang w:val="en-GB"/>
        </w:rPr>
      </w:pPr>
      <w:r w:rsidRPr="00C5245B">
        <w:rPr>
          <w:b/>
          <w:bCs/>
          <w:sz w:val="22"/>
          <w:szCs w:val="22"/>
          <w:lang w:val="en-GB"/>
        </w:rPr>
        <w:t xml:space="preserve">Relevant Experience- </w:t>
      </w:r>
      <w:r>
        <w:rPr>
          <w:sz w:val="22"/>
          <w:szCs w:val="22"/>
        </w:rPr>
        <w:t>Description of conducted relevant projects/activities.</w:t>
      </w:r>
    </w:p>
    <w:p w14:paraId="0BD9E905" w14:textId="77777777" w:rsidR="00472B7E" w:rsidRPr="00C5245B" w:rsidRDefault="00472B7E" w:rsidP="00472B7E">
      <w:pPr>
        <w:pStyle w:val="NormalWeb"/>
        <w:numPr>
          <w:ilvl w:val="0"/>
          <w:numId w:val="1"/>
        </w:numPr>
        <w:spacing w:before="0" w:beforeAutospacing="0" w:after="120" w:afterAutospacing="0" w:line="300" w:lineRule="exact"/>
        <w:jc w:val="both"/>
        <w:rPr>
          <w:rFonts w:eastAsia="Calibri"/>
          <w:sz w:val="22"/>
          <w:szCs w:val="22"/>
          <w:lang w:val="en-GB" w:eastAsia="ar-SA"/>
        </w:rPr>
      </w:pPr>
      <w:r w:rsidRPr="00C5245B">
        <w:rPr>
          <w:rFonts w:eastAsia="Calibri"/>
          <w:sz w:val="22"/>
          <w:szCs w:val="22"/>
          <w:lang w:val="en-GB" w:eastAsia="ar-SA"/>
        </w:rPr>
        <w:t>Financial Proposal</w:t>
      </w:r>
    </w:p>
    <w:p w14:paraId="41CD2601" w14:textId="77777777" w:rsidR="00472B7E" w:rsidRPr="00C5245B" w:rsidRDefault="00472B7E" w:rsidP="00472B7E">
      <w:pPr>
        <w:pStyle w:val="NormalWeb"/>
        <w:spacing w:after="120" w:line="300" w:lineRule="exact"/>
        <w:jc w:val="both"/>
        <w:rPr>
          <w:sz w:val="22"/>
          <w:szCs w:val="22"/>
          <w:lang w:val="en-GB"/>
        </w:rPr>
      </w:pPr>
      <w:r w:rsidRPr="00C5245B">
        <w:rPr>
          <w:sz w:val="22"/>
          <w:szCs w:val="22"/>
          <w:lang w:val="en-GB"/>
        </w:rPr>
        <w:t xml:space="preserve">The Financial Proposal shall cover only the </w:t>
      </w:r>
      <w:r w:rsidRPr="00C5245B">
        <w:rPr>
          <w:b/>
          <w:bCs/>
          <w:sz w:val="22"/>
          <w:szCs w:val="22"/>
          <w:lang w:val="en-GB"/>
        </w:rPr>
        <w:t>professional fees of the proposed trainer(s)</w:t>
      </w:r>
      <w:r w:rsidRPr="00C5245B">
        <w:rPr>
          <w:sz w:val="22"/>
          <w:szCs w:val="22"/>
          <w:lang w:val="en-GB"/>
        </w:rPr>
        <w:t>.</w:t>
      </w:r>
    </w:p>
    <w:p w14:paraId="7637CF40" w14:textId="77777777" w:rsidR="00472B7E" w:rsidRPr="000333CE" w:rsidRDefault="00472B7E" w:rsidP="00472B7E">
      <w:pPr>
        <w:pStyle w:val="NormalWeb"/>
        <w:spacing w:after="120" w:line="300" w:lineRule="exact"/>
        <w:jc w:val="both"/>
        <w:rPr>
          <w:sz w:val="22"/>
          <w:szCs w:val="22"/>
        </w:rPr>
      </w:pPr>
      <w:r w:rsidRPr="000333CE">
        <w:rPr>
          <w:sz w:val="22"/>
          <w:szCs w:val="22"/>
        </w:rPr>
        <w:t>All logistical and operational costs related to the implementation of the assignment- including venue, transportation, catering, materials production, and technical support- will be covered by the Client and shall not be included in the Financial Proposal.</w:t>
      </w:r>
    </w:p>
    <w:p w14:paraId="5616B0C0" w14:textId="77777777" w:rsidR="00472B7E" w:rsidRPr="00C5245B" w:rsidRDefault="00472B7E" w:rsidP="00472B7E">
      <w:pPr>
        <w:pStyle w:val="NormalWeb"/>
        <w:spacing w:after="120" w:line="300" w:lineRule="exact"/>
        <w:jc w:val="both"/>
        <w:rPr>
          <w:sz w:val="22"/>
          <w:szCs w:val="22"/>
          <w:lang w:val="en-GB"/>
        </w:rPr>
      </w:pPr>
      <w:r w:rsidRPr="00C5245B">
        <w:rPr>
          <w:sz w:val="22"/>
          <w:szCs w:val="22"/>
          <w:lang w:val="en-GB"/>
        </w:rPr>
        <w:t>The Financial Proposal shall</w:t>
      </w:r>
      <w:r>
        <w:rPr>
          <w:sz w:val="22"/>
          <w:szCs w:val="22"/>
          <w:lang w:val="en-GB"/>
        </w:rPr>
        <w:t xml:space="preserve"> </w:t>
      </w:r>
      <w:r w:rsidRPr="00C5245B">
        <w:rPr>
          <w:sz w:val="22"/>
          <w:szCs w:val="22"/>
          <w:lang w:val="en-GB"/>
        </w:rPr>
        <w:t>be submitted in Georgian Lari (GEL)</w:t>
      </w:r>
      <w:r>
        <w:rPr>
          <w:sz w:val="22"/>
          <w:szCs w:val="22"/>
          <w:lang w:val="en-GB"/>
        </w:rPr>
        <w:t xml:space="preserve">, </w:t>
      </w:r>
      <w:r w:rsidRPr="00C5245B">
        <w:rPr>
          <w:sz w:val="22"/>
          <w:szCs w:val="22"/>
          <w:lang w:val="en-GB"/>
        </w:rPr>
        <w:t>be presented in Excel format</w:t>
      </w:r>
      <w:r>
        <w:rPr>
          <w:sz w:val="22"/>
          <w:szCs w:val="22"/>
          <w:lang w:val="en-GB"/>
        </w:rPr>
        <w:t xml:space="preserve">, </w:t>
      </w:r>
      <w:r w:rsidRPr="00C5245B">
        <w:rPr>
          <w:sz w:val="22"/>
          <w:szCs w:val="22"/>
          <w:lang w:val="en-GB"/>
        </w:rPr>
        <w:t>clearly indicate the cost per activity, including the applicable daily fee of the trainer(s);</w:t>
      </w:r>
      <w:r>
        <w:rPr>
          <w:sz w:val="22"/>
          <w:szCs w:val="22"/>
          <w:lang w:val="en-GB"/>
        </w:rPr>
        <w:t xml:space="preserve"> and </w:t>
      </w:r>
      <w:r w:rsidRPr="00C5245B">
        <w:rPr>
          <w:sz w:val="22"/>
          <w:szCs w:val="22"/>
          <w:lang w:val="en-GB"/>
        </w:rPr>
        <w:t>specify the estimated number of working days per activity, where relevant.</w:t>
      </w:r>
    </w:p>
    <w:p w14:paraId="3F87A22C" w14:textId="77777777" w:rsidR="00472B7E" w:rsidRPr="00C5245B" w:rsidRDefault="00472B7E" w:rsidP="00472B7E">
      <w:pPr>
        <w:pStyle w:val="NormalWeb"/>
        <w:spacing w:after="120" w:line="300" w:lineRule="exact"/>
        <w:jc w:val="both"/>
        <w:rPr>
          <w:b/>
          <w:bCs/>
          <w:sz w:val="22"/>
          <w:szCs w:val="22"/>
          <w:lang w:val="en-GB"/>
        </w:rPr>
      </w:pPr>
      <w:r>
        <w:rPr>
          <w:sz w:val="22"/>
          <w:szCs w:val="22"/>
          <w:lang w:val="en-GB"/>
        </w:rPr>
        <w:t xml:space="preserve"> </w:t>
      </w:r>
      <w:r w:rsidRPr="00C5245B">
        <w:rPr>
          <w:b/>
          <w:bCs/>
          <w:sz w:val="22"/>
          <w:szCs w:val="22"/>
          <w:lang w:val="en-GB"/>
        </w:rPr>
        <w:t>Payment Conditions</w:t>
      </w:r>
    </w:p>
    <w:p w14:paraId="51654574" w14:textId="77777777" w:rsidR="00472B7E"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lastRenderedPageBreak/>
        <w:t xml:space="preserve">Payments may </w:t>
      </w:r>
      <w:r>
        <w:rPr>
          <w:sz w:val="22"/>
          <w:szCs w:val="22"/>
          <w:lang w:val="en-GB"/>
        </w:rPr>
        <w:t xml:space="preserve">will </w:t>
      </w:r>
      <w:r w:rsidRPr="00C5245B">
        <w:rPr>
          <w:sz w:val="22"/>
          <w:szCs w:val="22"/>
          <w:lang w:val="en-GB"/>
        </w:rPr>
        <w:t xml:space="preserve">be made upon satisfactory completion </w:t>
      </w:r>
      <w:proofErr w:type="gramStart"/>
      <w:r w:rsidRPr="00C5245B">
        <w:rPr>
          <w:sz w:val="22"/>
          <w:szCs w:val="22"/>
          <w:lang w:val="en-GB"/>
        </w:rPr>
        <w:t xml:space="preserve">of  </w:t>
      </w:r>
      <w:r>
        <w:rPr>
          <w:sz w:val="22"/>
          <w:szCs w:val="22"/>
          <w:lang w:val="en-GB"/>
        </w:rPr>
        <w:t>the</w:t>
      </w:r>
      <w:proofErr w:type="gramEnd"/>
      <w:r>
        <w:rPr>
          <w:sz w:val="22"/>
          <w:szCs w:val="22"/>
          <w:lang w:val="en-GB"/>
        </w:rPr>
        <w:t xml:space="preserve"> training</w:t>
      </w:r>
      <w:r w:rsidRPr="00C5245B">
        <w:rPr>
          <w:sz w:val="22"/>
          <w:szCs w:val="22"/>
          <w:lang w:val="en-GB"/>
        </w:rPr>
        <w:t xml:space="preserve"> and submission of a brief activity report, including relevant M&amp;E data, as agreed with the Client.</w:t>
      </w:r>
    </w:p>
    <w:p w14:paraId="35265A51" w14:textId="77777777" w:rsidR="00472B7E" w:rsidRPr="00C5245B" w:rsidRDefault="00472B7E" w:rsidP="00472B7E">
      <w:pPr>
        <w:pStyle w:val="Heading1"/>
        <w:rPr>
          <w:rFonts w:eastAsia="Calibri"/>
          <w:lang w:val="en-GB"/>
        </w:rPr>
      </w:pPr>
      <w:r w:rsidRPr="00C5245B">
        <w:rPr>
          <w:rFonts w:eastAsia="Calibri"/>
          <w:lang w:val="en-GB"/>
        </w:rPr>
        <w:t>Evaluation and Selection Criteria</w:t>
      </w:r>
    </w:p>
    <w:p w14:paraId="1B63B3D7"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Applications will be evaluated based on the following criteria and weighting:</w:t>
      </w:r>
    </w:p>
    <w:p w14:paraId="5AF6ED7C" w14:textId="77777777" w:rsidR="00472B7E" w:rsidRPr="00C5245B" w:rsidRDefault="00472B7E" w:rsidP="00472B7E">
      <w:pPr>
        <w:pStyle w:val="NormalWeb"/>
        <w:numPr>
          <w:ilvl w:val="0"/>
          <w:numId w:val="3"/>
        </w:numPr>
        <w:spacing w:before="0" w:beforeAutospacing="0" w:after="120" w:afterAutospacing="0" w:line="300" w:lineRule="exact"/>
        <w:rPr>
          <w:sz w:val="22"/>
          <w:szCs w:val="22"/>
          <w:lang w:val="en-GB"/>
        </w:rPr>
      </w:pPr>
      <w:r w:rsidRPr="00C5245B">
        <w:rPr>
          <w:b/>
          <w:bCs/>
          <w:sz w:val="22"/>
          <w:szCs w:val="22"/>
          <w:lang w:val="en-GB"/>
        </w:rPr>
        <w:t>Qualifications and Experience of the Expert(s)</w:t>
      </w:r>
      <w:r w:rsidRPr="00C5245B">
        <w:rPr>
          <w:sz w:val="22"/>
          <w:szCs w:val="22"/>
          <w:lang w:val="en-GB"/>
        </w:rPr>
        <w:t xml:space="preserve"> – </w:t>
      </w:r>
      <w:r w:rsidRPr="00C5245B">
        <w:rPr>
          <w:b/>
          <w:bCs/>
          <w:sz w:val="22"/>
          <w:szCs w:val="22"/>
          <w:lang w:val="en-GB"/>
        </w:rPr>
        <w:t>35%</w:t>
      </w:r>
      <w:r w:rsidRPr="00C5245B">
        <w:rPr>
          <w:sz w:val="22"/>
          <w:szCs w:val="22"/>
          <w:lang w:val="en-GB"/>
        </w:rPr>
        <w:br/>
        <w:t xml:space="preserve">Assessment will be based on the requirements set out in the section </w:t>
      </w:r>
      <w:r w:rsidRPr="00C5245B">
        <w:rPr>
          <w:i/>
          <w:iCs/>
          <w:sz w:val="22"/>
          <w:szCs w:val="22"/>
          <w:lang w:val="en-GB"/>
        </w:rPr>
        <w:t>Profile and Qualifications of the Trainer(s)</w:t>
      </w:r>
      <w:r w:rsidRPr="00C5245B">
        <w:rPr>
          <w:sz w:val="22"/>
          <w:szCs w:val="22"/>
          <w:lang w:val="en-GB"/>
        </w:rPr>
        <w:t xml:space="preserve">, including the relevance and quality of demonstrated experience in </w:t>
      </w:r>
      <w:r>
        <w:rPr>
          <w:sz w:val="22"/>
          <w:szCs w:val="22"/>
          <w:lang w:val="en-GB"/>
        </w:rPr>
        <w:t>delivering trainings</w:t>
      </w:r>
      <w:r w:rsidRPr="00C5245B">
        <w:rPr>
          <w:sz w:val="22"/>
          <w:szCs w:val="22"/>
          <w:lang w:val="en-GB"/>
        </w:rPr>
        <w:t>.</w:t>
      </w:r>
    </w:p>
    <w:p w14:paraId="4E019898" w14:textId="77777777" w:rsidR="00472B7E" w:rsidRPr="00C5245B" w:rsidRDefault="00472B7E" w:rsidP="00472B7E">
      <w:pPr>
        <w:pStyle w:val="NormalWeb"/>
        <w:numPr>
          <w:ilvl w:val="0"/>
          <w:numId w:val="3"/>
        </w:numPr>
        <w:spacing w:before="0" w:beforeAutospacing="0" w:after="120" w:afterAutospacing="0" w:line="300" w:lineRule="exact"/>
        <w:rPr>
          <w:sz w:val="22"/>
          <w:szCs w:val="22"/>
          <w:lang w:val="en-GB"/>
        </w:rPr>
      </w:pPr>
      <w:r w:rsidRPr="00C5245B">
        <w:rPr>
          <w:b/>
          <w:bCs/>
          <w:sz w:val="22"/>
          <w:szCs w:val="22"/>
          <w:lang w:val="en-GB"/>
        </w:rPr>
        <w:t>Technical Proposal</w:t>
      </w:r>
      <w:r w:rsidRPr="00C5245B">
        <w:rPr>
          <w:sz w:val="22"/>
          <w:szCs w:val="22"/>
          <w:lang w:val="en-GB"/>
        </w:rPr>
        <w:t xml:space="preserve"> – </w:t>
      </w:r>
      <w:r w:rsidRPr="00C5245B">
        <w:rPr>
          <w:b/>
          <w:bCs/>
          <w:sz w:val="22"/>
          <w:szCs w:val="22"/>
          <w:lang w:val="en-GB"/>
        </w:rPr>
        <w:t>35%</w:t>
      </w:r>
      <w:r w:rsidRPr="00C5245B">
        <w:rPr>
          <w:sz w:val="22"/>
          <w:szCs w:val="22"/>
          <w:lang w:val="en-GB"/>
        </w:rPr>
        <w:br/>
        <w:t xml:space="preserve">Assessment will be based on the requirements set out in section </w:t>
      </w:r>
      <w:r w:rsidRPr="00C5245B">
        <w:rPr>
          <w:i/>
          <w:iCs/>
          <w:sz w:val="22"/>
          <w:szCs w:val="22"/>
          <w:lang w:val="en-GB"/>
        </w:rPr>
        <w:t>Application and Financial Proposal Requirements – A. Technical Proposal</w:t>
      </w:r>
      <w:r w:rsidRPr="00C5245B">
        <w:rPr>
          <w:sz w:val="22"/>
          <w:szCs w:val="22"/>
          <w:lang w:val="en-GB"/>
        </w:rPr>
        <w:t>, including the proposed approach, methodology, workplan, and staffing arrangements.</w:t>
      </w:r>
    </w:p>
    <w:p w14:paraId="2E47E44C" w14:textId="77777777" w:rsidR="00472B7E" w:rsidRPr="00C5245B" w:rsidRDefault="00472B7E" w:rsidP="00472B7E">
      <w:pPr>
        <w:pStyle w:val="NormalWeb"/>
        <w:numPr>
          <w:ilvl w:val="0"/>
          <w:numId w:val="3"/>
        </w:numPr>
        <w:spacing w:before="0" w:beforeAutospacing="0" w:after="120" w:afterAutospacing="0" w:line="300" w:lineRule="exact"/>
        <w:rPr>
          <w:sz w:val="22"/>
          <w:szCs w:val="22"/>
          <w:lang w:val="en-GB"/>
        </w:rPr>
      </w:pPr>
      <w:r w:rsidRPr="00C5245B">
        <w:rPr>
          <w:b/>
          <w:bCs/>
          <w:sz w:val="22"/>
          <w:szCs w:val="22"/>
          <w:lang w:val="en-GB"/>
        </w:rPr>
        <w:t>Financial Proposal</w:t>
      </w:r>
      <w:r w:rsidRPr="00C5245B">
        <w:rPr>
          <w:sz w:val="22"/>
          <w:szCs w:val="22"/>
          <w:lang w:val="en-GB"/>
        </w:rPr>
        <w:t xml:space="preserve"> – </w:t>
      </w:r>
      <w:r w:rsidRPr="00C5245B">
        <w:rPr>
          <w:b/>
          <w:bCs/>
          <w:sz w:val="22"/>
          <w:szCs w:val="22"/>
          <w:lang w:val="en-GB"/>
        </w:rPr>
        <w:t>30%</w:t>
      </w:r>
      <w:r w:rsidRPr="00C5245B">
        <w:rPr>
          <w:sz w:val="22"/>
          <w:szCs w:val="22"/>
          <w:lang w:val="en-GB"/>
        </w:rPr>
        <w:br/>
        <w:t xml:space="preserve">Assessment will be based on the requirements set out in section </w:t>
      </w:r>
      <w:r w:rsidRPr="00C5245B">
        <w:rPr>
          <w:i/>
          <w:iCs/>
          <w:sz w:val="22"/>
          <w:szCs w:val="22"/>
          <w:lang w:val="en-GB"/>
        </w:rPr>
        <w:t>Application and Financial Proposal Requirements – B. Financial Proposal</w:t>
      </w:r>
      <w:r w:rsidRPr="00C5245B">
        <w:rPr>
          <w:sz w:val="22"/>
          <w:szCs w:val="22"/>
          <w:lang w:val="en-GB"/>
        </w:rPr>
        <w:t>, including cost-effectiveness, transparency, and alignment with the scope of the assignment.</w:t>
      </w:r>
    </w:p>
    <w:p w14:paraId="170E12BA"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The contract will be awarded to the applicant whose proposal achieves the highest overall score based on the above criteria and weighting.</w:t>
      </w:r>
    </w:p>
    <w:p w14:paraId="11F11841" w14:textId="77777777" w:rsidR="00472B7E" w:rsidRPr="00C5245B" w:rsidRDefault="00472B7E" w:rsidP="00472B7E">
      <w:pPr>
        <w:pStyle w:val="Heading1"/>
        <w:rPr>
          <w:rFonts w:eastAsia="Calibri"/>
          <w:lang w:val="en-GB"/>
        </w:rPr>
      </w:pPr>
      <w:r w:rsidRPr="00C5245B">
        <w:rPr>
          <w:rFonts w:eastAsia="Calibri"/>
          <w:lang w:val="en-GB"/>
        </w:rPr>
        <w:t>Deadline and Submission</w:t>
      </w:r>
    </w:p>
    <w:p w14:paraId="693C2F4E" w14:textId="0F691E9C"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 xml:space="preserve">The deadline for submission of applications is </w:t>
      </w:r>
      <w:r w:rsidRPr="00C5245B">
        <w:rPr>
          <w:sz w:val="22"/>
          <w:szCs w:val="22"/>
          <w:highlight w:val="yellow"/>
          <w:lang w:val="en-GB"/>
        </w:rPr>
        <w:t xml:space="preserve">March </w:t>
      </w:r>
      <w:r>
        <w:rPr>
          <w:sz w:val="22"/>
          <w:szCs w:val="22"/>
          <w:highlight w:val="yellow"/>
          <w:lang w:val="en-GB"/>
        </w:rPr>
        <w:t>15th</w:t>
      </w:r>
      <w:r w:rsidRPr="00C5245B">
        <w:rPr>
          <w:sz w:val="22"/>
          <w:szCs w:val="22"/>
          <w:highlight w:val="yellow"/>
          <w:lang w:val="en-GB"/>
        </w:rPr>
        <w:t>, 2026.</w:t>
      </w:r>
    </w:p>
    <w:p w14:paraId="44EFBE4B"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 xml:space="preserve">Applications shall be submitted electronically by email to the following address: </w:t>
      </w:r>
      <w:hyperlink r:id="rId10" w:history="1">
        <w:r w:rsidRPr="00C5245B">
          <w:rPr>
            <w:rStyle w:val="Hyperlink"/>
            <w:sz w:val="22"/>
            <w:szCs w:val="22"/>
            <w:lang w:val="en-GB"/>
          </w:rPr>
          <w:t>info@dvv-international.ge</w:t>
        </w:r>
      </w:hyperlink>
      <w:r w:rsidRPr="00C5245B">
        <w:rPr>
          <w:sz w:val="22"/>
          <w:szCs w:val="22"/>
          <w:lang w:val="en-GB"/>
        </w:rPr>
        <w:t xml:space="preserve"> </w:t>
      </w:r>
    </w:p>
    <w:p w14:paraId="3C641FDC" w14:textId="4EC7F38E"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The subject line of the email shall clearly indicate: “</w:t>
      </w:r>
      <w:r w:rsidRPr="00C5245B">
        <w:rPr>
          <w:sz w:val="22"/>
          <w:szCs w:val="22"/>
          <w:highlight w:val="yellow"/>
          <w:lang w:val="en-GB"/>
        </w:rPr>
        <w:t>Training</w:t>
      </w:r>
      <w:r>
        <w:rPr>
          <w:sz w:val="22"/>
          <w:szCs w:val="22"/>
          <w:highlight w:val="yellow"/>
          <w:lang w:val="en-GB"/>
        </w:rPr>
        <w:t xml:space="preserve"> on Effective Communication</w:t>
      </w:r>
      <w:r w:rsidRPr="00C5245B">
        <w:rPr>
          <w:sz w:val="22"/>
          <w:szCs w:val="22"/>
          <w:lang w:val="en-GB"/>
        </w:rPr>
        <w:t>”</w:t>
      </w:r>
    </w:p>
    <w:p w14:paraId="682701E0"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 xml:space="preserve">Applications shall be submitted in English and include both the Technical Proposal and Financial Proposal as specified in this </w:t>
      </w:r>
      <w:proofErr w:type="spellStart"/>
      <w:r w:rsidRPr="00C5245B">
        <w:rPr>
          <w:sz w:val="22"/>
          <w:szCs w:val="22"/>
          <w:lang w:val="en-GB"/>
        </w:rPr>
        <w:t>ToR</w:t>
      </w:r>
      <w:proofErr w:type="spellEnd"/>
      <w:r w:rsidRPr="00C5245B">
        <w:rPr>
          <w:sz w:val="22"/>
          <w:szCs w:val="22"/>
          <w:lang w:val="en-GB"/>
        </w:rPr>
        <w:t>.</w:t>
      </w:r>
    </w:p>
    <w:p w14:paraId="3B7FEF1A"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Requests for clarification may be submitted to the same email address no later than 7 calendar days prior to the submission deadline. Responses to clarification requests will be provided by email.</w:t>
      </w:r>
    </w:p>
    <w:p w14:paraId="36049488" w14:textId="77777777" w:rsidR="00472B7E" w:rsidRPr="00C5245B" w:rsidRDefault="00472B7E" w:rsidP="00472B7E">
      <w:pPr>
        <w:pStyle w:val="NormalWeb"/>
        <w:spacing w:before="0" w:beforeAutospacing="0" w:after="120" w:afterAutospacing="0" w:line="300" w:lineRule="exact"/>
        <w:jc w:val="both"/>
        <w:rPr>
          <w:sz w:val="22"/>
          <w:szCs w:val="22"/>
          <w:lang w:val="en-GB"/>
        </w:rPr>
      </w:pPr>
      <w:r w:rsidRPr="00C5245B">
        <w:rPr>
          <w:sz w:val="22"/>
          <w:szCs w:val="22"/>
          <w:lang w:val="en-GB"/>
        </w:rPr>
        <w:t>Late submissions or applications not complying with the submission requirements may not be considered.</w:t>
      </w:r>
    </w:p>
    <w:p w14:paraId="68C3084F" w14:textId="77777777" w:rsidR="00472B7E" w:rsidRPr="000333CE" w:rsidRDefault="00472B7E" w:rsidP="00472B7E">
      <w:pPr>
        <w:rPr>
          <w:lang w:val="en-US"/>
        </w:rPr>
      </w:pPr>
    </w:p>
    <w:p w14:paraId="30278A6E" w14:textId="77777777" w:rsidR="0000123E" w:rsidRDefault="0000123E"/>
    <w:sectPr w:rsidR="00001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941D" w14:textId="77777777" w:rsidR="00F32CBD" w:rsidRDefault="00F32CBD" w:rsidP="00472B7E">
      <w:pPr>
        <w:spacing w:after="0" w:line="240" w:lineRule="auto"/>
      </w:pPr>
      <w:r>
        <w:separator/>
      </w:r>
    </w:p>
  </w:endnote>
  <w:endnote w:type="continuationSeparator" w:id="0">
    <w:p w14:paraId="49EE690D" w14:textId="77777777" w:rsidR="00F32CBD" w:rsidRDefault="00F32CBD" w:rsidP="0047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6589" w14:textId="77777777" w:rsidR="00F32CBD" w:rsidRDefault="00F32CBD" w:rsidP="00472B7E">
      <w:pPr>
        <w:spacing w:after="0" w:line="240" w:lineRule="auto"/>
      </w:pPr>
      <w:r>
        <w:separator/>
      </w:r>
    </w:p>
  </w:footnote>
  <w:footnote w:type="continuationSeparator" w:id="0">
    <w:p w14:paraId="486E280E" w14:textId="77777777" w:rsidR="00F32CBD" w:rsidRDefault="00F32CBD" w:rsidP="00472B7E">
      <w:pPr>
        <w:spacing w:after="0" w:line="240" w:lineRule="auto"/>
      </w:pPr>
      <w:r>
        <w:continuationSeparator/>
      </w:r>
    </w:p>
  </w:footnote>
  <w:footnote w:id="1">
    <w:p w14:paraId="652F23FE" w14:textId="77777777" w:rsidR="00472B7E" w:rsidRPr="005A205C" w:rsidRDefault="00472B7E" w:rsidP="00472B7E">
      <w:pPr>
        <w:pStyle w:val="FootnoteText"/>
        <w:rPr>
          <w:rFonts w:ascii="Times New Roman" w:hAnsi="Times New Roman"/>
          <w:lang w:val="en-US"/>
        </w:rPr>
      </w:pPr>
      <w:r w:rsidRPr="005A205C">
        <w:rPr>
          <w:rStyle w:val="FootnoteReference"/>
          <w:rFonts w:ascii="Times New Roman" w:hAnsi="Times New Roman"/>
          <w:sz w:val="18"/>
          <w:szCs w:val="18"/>
        </w:rPr>
        <w:footnoteRef/>
      </w:r>
      <w:r w:rsidRPr="005A205C">
        <w:rPr>
          <w:rFonts w:ascii="Times New Roman" w:hAnsi="Times New Roman"/>
          <w:sz w:val="18"/>
          <w:szCs w:val="18"/>
        </w:rPr>
        <w:t xml:space="preserve"> </w:t>
      </w:r>
      <w:r w:rsidRPr="005A205C">
        <w:rPr>
          <w:rFonts w:ascii="Times New Roman" w:hAnsi="Times New Roman"/>
          <w:sz w:val="18"/>
          <w:szCs w:val="18"/>
          <w:lang w:val="en-US"/>
        </w:rPr>
        <w:t xml:space="preserve">These Centers are established in the following municipalities of Georgia: </w:t>
      </w:r>
      <w:proofErr w:type="spellStart"/>
      <w:r w:rsidRPr="005A205C">
        <w:rPr>
          <w:rFonts w:ascii="Times New Roman" w:hAnsi="Times New Roman"/>
          <w:sz w:val="18"/>
          <w:szCs w:val="18"/>
          <w:lang w:val="en-US"/>
        </w:rPr>
        <w:t>Lagodekhi</w:t>
      </w:r>
      <w:proofErr w:type="spellEnd"/>
      <w:r w:rsidRPr="005A205C">
        <w:rPr>
          <w:rFonts w:ascii="Times New Roman" w:hAnsi="Times New Roman"/>
          <w:sz w:val="18"/>
          <w:szCs w:val="18"/>
          <w:lang w:val="en-US"/>
        </w:rPr>
        <w:t xml:space="preserve">, Bolnisi, </w:t>
      </w:r>
      <w:proofErr w:type="spellStart"/>
      <w:r w:rsidRPr="005A205C">
        <w:rPr>
          <w:rFonts w:ascii="Times New Roman" w:hAnsi="Times New Roman"/>
          <w:sz w:val="18"/>
          <w:szCs w:val="18"/>
          <w:lang w:val="en-US"/>
        </w:rPr>
        <w:t>Tetritskaro</w:t>
      </w:r>
      <w:proofErr w:type="spellEnd"/>
      <w:r w:rsidRPr="005A205C">
        <w:rPr>
          <w:rFonts w:ascii="Times New Roman" w:hAnsi="Times New Roman"/>
          <w:sz w:val="18"/>
          <w:szCs w:val="18"/>
          <w:lang w:val="en-US"/>
        </w:rPr>
        <w:t xml:space="preserve">, Marneuli, Mtskheta, Akhaltsikhe, Akhalkalaki, Kaspi, </w:t>
      </w:r>
      <w:proofErr w:type="spellStart"/>
      <w:r w:rsidRPr="005A205C">
        <w:rPr>
          <w:rFonts w:ascii="Times New Roman" w:hAnsi="Times New Roman"/>
          <w:sz w:val="18"/>
          <w:szCs w:val="18"/>
          <w:lang w:val="en-US"/>
        </w:rPr>
        <w:t>Kharagauli</w:t>
      </w:r>
      <w:proofErr w:type="spellEnd"/>
      <w:r w:rsidRPr="005A205C">
        <w:rPr>
          <w:rFonts w:ascii="Times New Roman" w:hAnsi="Times New Roman"/>
          <w:sz w:val="18"/>
          <w:szCs w:val="18"/>
          <w:lang w:val="en-US"/>
        </w:rPr>
        <w:t xml:space="preserve">, </w:t>
      </w:r>
      <w:proofErr w:type="spellStart"/>
      <w:r w:rsidRPr="005A205C">
        <w:rPr>
          <w:rFonts w:ascii="Times New Roman" w:hAnsi="Times New Roman"/>
          <w:sz w:val="18"/>
          <w:szCs w:val="18"/>
          <w:lang w:val="en-US"/>
        </w:rPr>
        <w:t>Ambrolauri</w:t>
      </w:r>
      <w:proofErr w:type="spellEnd"/>
      <w:r w:rsidRPr="005A205C">
        <w:rPr>
          <w:rFonts w:ascii="Times New Roman" w:hAnsi="Times New Roman"/>
          <w:sz w:val="18"/>
          <w:szCs w:val="18"/>
          <w:lang w:val="en-US"/>
        </w:rPr>
        <w:t xml:space="preserve">, Khoni, </w:t>
      </w:r>
      <w:proofErr w:type="spellStart"/>
      <w:r w:rsidRPr="005A205C">
        <w:rPr>
          <w:rFonts w:ascii="Times New Roman" w:hAnsi="Times New Roman"/>
          <w:sz w:val="18"/>
          <w:szCs w:val="18"/>
          <w:lang w:val="en-US"/>
        </w:rPr>
        <w:t>Senaki</w:t>
      </w:r>
      <w:proofErr w:type="spellEnd"/>
      <w:r w:rsidRPr="005A205C">
        <w:rPr>
          <w:rFonts w:ascii="Times New Roman" w:hAnsi="Times New Roman"/>
          <w:sz w:val="18"/>
          <w:szCs w:val="18"/>
          <w:lang w:val="en-US"/>
        </w:rPr>
        <w:t xml:space="preserve">, </w:t>
      </w:r>
      <w:proofErr w:type="spellStart"/>
      <w:r w:rsidRPr="005A205C">
        <w:rPr>
          <w:rFonts w:ascii="Times New Roman" w:hAnsi="Times New Roman"/>
          <w:sz w:val="18"/>
          <w:szCs w:val="18"/>
          <w:lang w:val="en-US"/>
        </w:rPr>
        <w:t>Tsalenjikha</w:t>
      </w:r>
      <w:proofErr w:type="spellEnd"/>
      <w:r w:rsidRPr="005A205C">
        <w:rPr>
          <w:rFonts w:ascii="Times New Roman" w:hAnsi="Times New Roman"/>
          <w:sz w:val="18"/>
          <w:szCs w:val="18"/>
          <w:lang w:val="en-US"/>
        </w:rPr>
        <w:t xml:space="preserve">, Keda, and </w:t>
      </w:r>
      <w:proofErr w:type="spellStart"/>
      <w:r w:rsidRPr="005A205C">
        <w:rPr>
          <w:rFonts w:ascii="Times New Roman" w:hAnsi="Times New Roman"/>
          <w:sz w:val="18"/>
          <w:szCs w:val="18"/>
          <w:lang w:val="en-US"/>
        </w:rPr>
        <w:t>Chokhatauri</w:t>
      </w:r>
      <w:proofErr w:type="spellEnd"/>
      <w:r w:rsidRPr="005A205C">
        <w:rPr>
          <w:rFonts w:ascii="Times New Roman" w:hAnsi="Times New Roman"/>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53F"/>
    <w:multiLevelType w:val="multilevel"/>
    <w:tmpl w:val="C5E0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A6378"/>
    <w:multiLevelType w:val="multilevel"/>
    <w:tmpl w:val="970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1036E"/>
    <w:multiLevelType w:val="multilevel"/>
    <w:tmpl w:val="89CA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B203E"/>
    <w:multiLevelType w:val="hybridMultilevel"/>
    <w:tmpl w:val="93D6F9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010FDB"/>
    <w:multiLevelType w:val="multilevel"/>
    <w:tmpl w:val="08620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2D3034C"/>
    <w:multiLevelType w:val="multilevel"/>
    <w:tmpl w:val="732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048FF"/>
    <w:multiLevelType w:val="multilevel"/>
    <w:tmpl w:val="B5D066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89035D5"/>
    <w:multiLevelType w:val="multilevel"/>
    <w:tmpl w:val="B5D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E4CC8"/>
    <w:multiLevelType w:val="multilevel"/>
    <w:tmpl w:val="C11E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14C79"/>
    <w:multiLevelType w:val="multilevel"/>
    <w:tmpl w:val="18B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E4576"/>
    <w:multiLevelType w:val="multilevel"/>
    <w:tmpl w:val="FE88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E55DD"/>
    <w:multiLevelType w:val="hybridMultilevel"/>
    <w:tmpl w:val="99643EB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729034059">
    <w:abstractNumId w:val="3"/>
  </w:num>
  <w:num w:numId="2" w16cid:durableId="2132169697">
    <w:abstractNumId w:val="2"/>
  </w:num>
  <w:num w:numId="3" w16cid:durableId="1110080226">
    <w:abstractNumId w:val="4"/>
  </w:num>
  <w:num w:numId="4" w16cid:durableId="697974662">
    <w:abstractNumId w:val="10"/>
  </w:num>
  <w:num w:numId="5" w16cid:durableId="1431582852">
    <w:abstractNumId w:val="6"/>
  </w:num>
  <w:num w:numId="6" w16cid:durableId="2011366244">
    <w:abstractNumId w:val="7"/>
  </w:num>
  <w:num w:numId="7" w16cid:durableId="398671113">
    <w:abstractNumId w:val="8"/>
  </w:num>
  <w:num w:numId="8" w16cid:durableId="1533805364">
    <w:abstractNumId w:val="5"/>
  </w:num>
  <w:num w:numId="9" w16cid:durableId="3552940">
    <w:abstractNumId w:val="1"/>
  </w:num>
  <w:num w:numId="10" w16cid:durableId="1250118977">
    <w:abstractNumId w:val="0"/>
  </w:num>
  <w:num w:numId="11" w16cid:durableId="452286257">
    <w:abstractNumId w:val="9"/>
  </w:num>
  <w:num w:numId="12" w16cid:durableId="183842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30"/>
    <w:rsid w:val="0000123E"/>
    <w:rsid w:val="00013D6B"/>
    <w:rsid w:val="00171F33"/>
    <w:rsid w:val="00472B7E"/>
    <w:rsid w:val="00621C23"/>
    <w:rsid w:val="006E7317"/>
    <w:rsid w:val="008A2E7F"/>
    <w:rsid w:val="009C02C0"/>
    <w:rsid w:val="00C15066"/>
    <w:rsid w:val="00D64CAB"/>
    <w:rsid w:val="00F32CBD"/>
    <w:rsid w:val="00F5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5BBF"/>
  <w15:chartTrackingRefBased/>
  <w15:docId w15:val="{038579E7-7DCB-4EAA-965B-565112F3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B7E"/>
    <w:pPr>
      <w:suppressAutoHyphens/>
      <w:spacing w:line="256" w:lineRule="auto"/>
    </w:pPr>
    <w:rPr>
      <w:rFonts w:ascii="Calibri" w:eastAsia="Calibri" w:hAnsi="Calibri" w:cs="Times New Roman"/>
      <w:kern w:val="0"/>
      <w:sz w:val="22"/>
      <w:szCs w:val="22"/>
      <w:lang w:val="de-DE" w:eastAsia="ar-SA"/>
      <w14:ligatures w14:val="none"/>
    </w:rPr>
  </w:style>
  <w:style w:type="paragraph" w:styleId="Heading1">
    <w:name w:val="heading 1"/>
    <w:basedOn w:val="Normal"/>
    <w:next w:val="Normal"/>
    <w:link w:val="Heading1Char"/>
    <w:uiPriority w:val="9"/>
    <w:qFormat/>
    <w:rsid w:val="00F5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6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6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6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6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6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6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6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30"/>
    <w:rPr>
      <w:rFonts w:eastAsiaTheme="majorEastAsia" w:cstheme="majorBidi"/>
      <w:color w:val="272727" w:themeColor="text1" w:themeTint="D8"/>
    </w:rPr>
  </w:style>
  <w:style w:type="paragraph" w:styleId="Title">
    <w:name w:val="Title"/>
    <w:basedOn w:val="Normal"/>
    <w:next w:val="Normal"/>
    <w:link w:val="TitleChar"/>
    <w:uiPriority w:val="10"/>
    <w:qFormat/>
    <w:rsid w:val="00F5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30"/>
    <w:pPr>
      <w:spacing w:before="160"/>
      <w:jc w:val="center"/>
    </w:pPr>
    <w:rPr>
      <w:i/>
      <w:iCs/>
      <w:color w:val="404040" w:themeColor="text1" w:themeTint="BF"/>
    </w:rPr>
  </w:style>
  <w:style w:type="character" w:customStyle="1" w:styleId="QuoteChar">
    <w:name w:val="Quote Char"/>
    <w:basedOn w:val="DefaultParagraphFont"/>
    <w:link w:val="Quote"/>
    <w:uiPriority w:val="29"/>
    <w:rsid w:val="00F54630"/>
    <w:rPr>
      <w:i/>
      <w:iCs/>
      <w:color w:val="404040" w:themeColor="text1" w:themeTint="BF"/>
    </w:rPr>
  </w:style>
  <w:style w:type="paragraph" w:styleId="ListParagraph">
    <w:name w:val="List Paragraph"/>
    <w:basedOn w:val="Normal"/>
    <w:uiPriority w:val="34"/>
    <w:qFormat/>
    <w:rsid w:val="00F54630"/>
    <w:pPr>
      <w:ind w:left="720"/>
      <w:contextualSpacing/>
    </w:pPr>
  </w:style>
  <w:style w:type="character" w:styleId="IntenseEmphasis">
    <w:name w:val="Intense Emphasis"/>
    <w:basedOn w:val="DefaultParagraphFont"/>
    <w:uiPriority w:val="21"/>
    <w:qFormat/>
    <w:rsid w:val="00F54630"/>
    <w:rPr>
      <w:i/>
      <w:iCs/>
      <w:color w:val="2F5496" w:themeColor="accent1" w:themeShade="BF"/>
    </w:rPr>
  </w:style>
  <w:style w:type="paragraph" w:styleId="IntenseQuote">
    <w:name w:val="Intense Quote"/>
    <w:basedOn w:val="Normal"/>
    <w:next w:val="Normal"/>
    <w:link w:val="IntenseQuoteChar"/>
    <w:uiPriority w:val="30"/>
    <w:qFormat/>
    <w:rsid w:val="00F5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630"/>
    <w:rPr>
      <w:i/>
      <w:iCs/>
      <w:color w:val="2F5496" w:themeColor="accent1" w:themeShade="BF"/>
    </w:rPr>
  </w:style>
  <w:style w:type="character" w:styleId="IntenseReference">
    <w:name w:val="Intense Reference"/>
    <w:basedOn w:val="DefaultParagraphFont"/>
    <w:uiPriority w:val="32"/>
    <w:qFormat/>
    <w:rsid w:val="00F54630"/>
    <w:rPr>
      <w:b/>
      <w:bCs/>
      <w:smallCaps/>
      <w:color w:val="2F5496" w:themeColor="accent1" w:themeShade="BF"/>
      <w:spacing w:val="5"/>
    </w:rPr>
  </w:style>
  <w:style w:type="character" w:styleId="FootnoteReference">
    <w:name w:val="footnote reference"/>
    <w:uiPriority w:val="99"/>
    <w:rsid w:val="00472B7E"/>
    <w:rPr>
      <w:vertAlign w:val="superscript"/>
    </w:rPr>
  </w:style>
  <w:style w:type="paragraph" w:styleId="FootnoteText">
    <w:name w:val="footnote text"/>
    <w:basedOn w:val="Normal"/>
    <w:link w:val="FootnoteTextChar"/>
    <w:uiPriority w:val="99"/>
    <w:rsid w:val="00472B7E"/>
    <w:rPr>
      <w:sz w:val="20"/>
      <w:szCs w:val="20"/>
    </w:rPr>
  </w:style>
  <w:style w:type="character" w:customStyle="1" w:styleId="FootnoteTextChar">
    <w:name w:val="Footnote Text Char"/>
    <w:basedOn w:val="DefaultParagraphFont"/>
    <w:link w:val="FootnoteText"/>
    <w:uiPriority w:val="99"/>
    <w:rsid w:val="00472B7E"/>
    <w:rPr>
      <w:rFonts w:ascii="Calibri" w:eastAsia="Calibri" w:hAnsi="Calibri" w:cs="Times New Roman"/>
      <w:kern w:val="0"/>
      <w:sz w:val="20"/>
      <w:szCs w:val="20"/>
      <w:lang w:val="de-DE" w:eastAsia="ar-SA"/>
      <w14:ligatures w14:val="none"/>
    </w:rPr>
  </w:style>
  <w:style w:type="character" w:styleId="Hyperlink">
    <w:name w:val="Hyperlink"/>
    <w:uiPriority w:val="99"/>
    <w:unhideWhenUsed/>
    <w:rsid w:val="00472B7E"/>
    <w:rPr>
      <w:color w:val="0000FF"/>
      <w:u w:val="single"/>
    </w:rPr>
  </w:style>
  <w:style w:type="paragraph" w:styleId="NormalWeb">
    <w:name w:val="Normal (Web)"/>
    <w:basedOn w:val="Normal"/>
    <w:uiPriority w:val="99"/>
    <w:unhideWhenUsed/>
    <w:rsid w:val="00472B7E"/>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Emphasis">
    <w:name w:val="Emphasis"/>
    <w:uiPriority w:val="20"/>
    <w:qFormat/>
    <w:rsid w:val="00472B7E"/>
    <w:rPr>
      <w:i/>
      <w:iCs/>
    </w:rPr>
  </w:style>
  <w:style w:type="character" w:styleId="CommentReference">
    <w:name w:val="annotation reference"/>
    <w:uiPriority w:val="99"/>
    <w:semiHidden/>
    <w:unhideWhenUsed/>
    <w:rsid w:val="00472B7E"/>
    <w:rPr>
      <w:sz w:val="16"/>
      <w:szCs w:val="16"/>
    </w:rPr>
  </w:style>
  <w:style w:type="paragraph" w:styleId="CommentText">
    <w:name w:val="annotation text"/>
    <w:basedOn w:val="Normal"/>
    <w:link w:val="CommentTextChar"/>
    <w:uiPriority w:val="99"/>
    <w:unhideWhenUsed/>
    <w:rsid w:val="00472B7E"/>
    <w:rPr>
      <w:sz w:val="20"/>
      <w:szCs w:val="20"/>
    </w:rPr>
  </w:style>
  <w:style w:type="character" w:customStyle="1" w:styleId="CommentTextChar">
    <w:name w:val="Comment Text Char"/>
    <w:basedOn w:val="DefaultParagraphFont"/>
    <w:link w:val="CommentText"/>
    <w:uiPriority w:val="99"/>
    <w:rsid w:val="00472B7E"/>
    <w:rPr>
      <w:rFonts w:ascii="Calibri" w:eastAsia="Calibri" w:hAnsi="Calibri" w:cs="Times New Roman"/>
      <w:kern w:val="0"/>
      <w:sz w:val="20"/>
      <w:szCs w:val="20"/>
      <w:lang w:val="de-DE" w:eastAsia="ar-SA"/>
      <w14:ligatures w14:val="none"/>
    </w:rPr>
  </w:style>
  <w:style w:type="paragraph" w:styleId="Revision">
    <w:name w:val="Revision"/>
    <w:hidden/>
    <w:uiPriority w:val="99"/>
    <w:semiHidden/>
    <w:rsid w:val="00013D6B"/>
    <w:pPr>
      <w:spacing w:after="0" w:line="240" w:lineRule="auto"/>
    </w:pPr>
    <w:rPr>
      <w:rFonts w:ascii="Calibri" w:eastAsia="Calibri" w:hAnsi="Calibri" w:cs="Times New Roman"/>
      <w:kern w:val="0"/>
      <w:sz w:val="22"/>
      <w:szCs w:val="22"/>
      <w:lang w:val="de-D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dvvvhs-my.sharepoint.com/personal/arsenidze_dvv-international_de/Documents/Desktop/DVV/2.%20Projects/Regional/SROI/Mac%20OS%20X:Users:wolfganggast:Desktop:Office:vhs-dvv_int_logo_RGB_pos_ver.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dvv-international.ge" TargetMode="External"/><Relationship Id="rId4" Type="http://schemas.openxmlformats.org/officeDocument/2006/relationships/webSettings" Target="webSettings.xml"/><Relationship Id="rId9" Type="http://schemas.openxmlformats.org/officeDocument/2006/relationships/hyperlink" Target="http://www.dvv-international.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1818</Words>
  <Characters>10368</Characters>
  <Application>Microsoft Office Word</Application>
  <DocSecurity>0</DocSecurity>
  <Lines>86</Lines>
  <Paragraphs>24</Paragraphs>
  <ScaleCrop>false</ScaleCrop>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Mania</dc:creator>
  <cp:keywords/>
  <dc:description/>
  <cp:lastModifiedBy>Nino Mania</cp:lastModifiedBy>
  <cp:revision>7</cp:revision>
  <dcterms:created xsi:type="dcterms:W3CDTF">2026-03-02T11:29:00Z</dcterms:created>
  <dcterms:modified xsi:type="dcterms:W3CDTF">2026-03-02T11:41:00Z</dcterms:modified>
</cp:coreProperties>
</file>